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48930105"/>
      <w:bookmarkEnd w:id="1"/>
      <w:bookmarkStart w:id="2" w:name="_Hlt450039480"/>
      <w:bookmarkEnd w:id="2"/>
      <w:bookmarkStart w:id="3" w:name="_Hlt450066087"/>
      <w:bookmarkEnd w:id="3"/>
      <w:bookmarkStart w:id="4" w:name="_Hlt450066085"/>
      <w:bookmarkEnd w:id="4"/>
      <w:bookmarkStart w:id="5" w:name="_Hlt449016246"/>
      <w:bookmarkEnd w:id="5"/>
      <w:bookmarkStart w:id="6" w:name="OLE_LINK111"/>
      <w:r>
        <w:rPr>
          <w:rFonts w:ascii="Arial" w:hAnsi="Arial" w:cs="Arial"/>
          <w:b/>
          <w:sz w:val="24"/>
          <w:szCs w:val="24"/>
        </w:rPr>
        <w:t>33GPP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R4-2415911</w:t>
      </w:r>
      <w:bookmarkStart w:id="18" w:name="_GoBack"/>
      <w:bookmarkEnd w:id="18"/>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p>
      <w:pPr>
        <w:pStyle w:val="18"/>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bookmarkEnd w:id="6"/>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 on Fragmented carrier general part and RF requirements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Style w:val="61"/>
          <w:rFonts w:hint="eastAsia"/>
          <w:b/>
          <w:highlight w:val="none"/>
          <w:lang w:val="en-US" w:eastAsia="zh-CN"/>
        </w:rPr>
        <w:t>6.6.3</w:t>
      </w:r>
    </w:p>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Style w:val="61"/>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last meeting, some initial discussions on the fragment carrier were carried out [1] but only few of the issues were issued due to the lack of time. There are many open issues are captured in the WF[2], and meanwhile some agreements are also included.</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7" w:name="OLE_LINK18"/>
      <w:r>
        <w:rPr>
          <w:rFonts w:hint="eastAsia" w:eastAsia="宋体" w:cs="Times New Roman"/>
          <w:sz w:val="20"/>
          <w:szCs w:val="20"/>
          <w:lang w:val="en-US" w:eastAsia="zh-CN"/>
        </w:rPr>
        <w:t xml:space="preserve">we give some discussions on </w:t>
      </w:r>
      <w:r>
        <w:rPr>
          <w:rFonts w:hint="eastAsia" w:cs="Times New Roman"/>
          <w:sz w:val="20"/>
          <w:szCs w:val="20"/>
          <w:lang w:val="en-US" w:eastAsia="zh-CN"/>
        </w:rPr>
        <w:t xml:space="preserve">the </w:t>
      </w:r>
      <w:r>
        <w:rPr>
          <w:rFonts w:hint="eastAsia" w:eastAsia="宋体" w:cs="Times New Roman"/>
          <w:sz w:val="20"/>
          <w:szCs w:val="20"/>
          <w:lang w:val="en-US" w:eastAsia="zh-CN"/>
        </w:rPr>
        <w:t>methods for reducing the number of UE Rx chains</w:t>
      </w:r>
      <w:r>
        <w:rPr>
          <w:rFonts w:hint="eastAsia" w:cs="Times New Roman"/>
          <w:sz w:val="20"/>
          <w:szCs w:val="20"/>
          <w:lang w:val="en-US" w:eastAsia="zh-CN"/>
        </w:rPr>
        <w:t xml:space="preserve"> for</w:t>
      </w:r>
      <w:r>
        <w:rPr>
          <w:rFonts w:hint="eastAsia" w:eastAsia="宋体" w:cs="Times New Roman"/>
          <w:sz w:val="20"/>
          <w:szCs w:val="20"/>
          <w:lang w:val="en-US" w:eastAsia="zh-CN"/>
        </w:rPr>
        <w:t xml:space="preserve"> fragment carriers.</w:t>
      </w:r>
      <w:bookmarkEnd w:id="7"/>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suppressLineNumbers w:val="0"/>
        <w:kinsoku/>
        <w:wordWrap/>
        <w:overflowPunct/>
        <w:topLinePunct w:val="0"/>
        <w:autoSpaceDE/>
        <w:autoSpaceDN/>
        <w:bidi w:val="0"/>
        <w:adjustRightInd/>
        <w:snapToGrid/>
        <w:spacing w:line="260" w:lineRule="auto"/>
        <w:jc w:val="left"/>
        <w:textAlignment w:val="auto"/>
        <w:outlineLvl w:val="1"/>
        <w:rPr>
          <w:rFonts w:hint="eastAsia" w:cs="Times New Roman"/>
          <w:b w:val="0"/>
          <w:bCs w:val="0"/>
          <w:kern w:val="0"/>
          <w:sz w:val="20"/>
          <w:szCs w:val="20"/>
          <w:highlight w:val="none"/>
          <w:lang w:val="en-US" w:eastAsia="zh-CN"/>
        </w:rPr>
      </w:pPr>
      <w:bookmarkStart w:id="8" w:name="OLE_LINK48"/>
      <w:bookmarkStart w:id="9" w:name="OLE_LINK23"/>
      <w:bookmarkStart w:id="10" w:name="OLE_LINK66"/>
      <w:bookmarkStart w:id="11" w:name="OLE_LINK38"/>
      <w:r>
        <w:rPr>
          <w:rFonts w:hint="eastAsia"/>
          <w:b/>
          <w:color w:val="auto"/>
          <w:sz w:val="20"/>
          <w:highlight w:val="none"/>
          <w:u w:val="single"/>
          <w:lang w:val="en-US" w:eastAsia="zh-CN"/>
        </w:rPr>
        <w:t>2.1 C</w:t>
      </w:r>
      <w:r>
        <w:rPr>
          <w:rFonts w:ascii="Times New Roman" w:hAnsi="Times New Roman"/>
          <w:b/>
          <w:color w:val="auto"/>
          <w:sz w:val="20"/>
          <w:highlight w:val="none"/>
          <w:u w:val="single"/>
          <w:lang w:val="en-US" w:eastAsia="ko-KR"/>
        </w:rPr>
        <w:t>larification on the scope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sz w:val="20"/>
          <w:szCs w:val="20"/>
          <w:lang w:val="en-US" w:eastAsia="zh-CN"/>
        </w:rPr>
      </w:pPr>
      <w:r>
        <w:rPr>
          <w:rFonts w:hint="eastAsia" w:cs="Times New Roman"/>
          <w:b w:val="0"/>
          <w:bCs w:val="0"/>
          <w:kern w:val="0"/>
          <w:sz w:val="20"/>
          <w:szCs w:val="20"/>
          <w:highlight w:val="none"/>
          <w:lang w:val="en-US" w:eastAsia="zh-CN"/>
        </w:rPr>
        <w:t xml:space="preserve">For the </w:t>
      </w:r>
      <w:r>
        <w:rPr>
          <w:rFonts w:hint="eastAsia" w:eastAsia="宋体" w:cs="Times New Roman"/>
          <w:sz w:val="20"/>
          <w:szCs w:val="20"/>
          <w:lang w:val="en-US" w:eastAsia="zh-CN"/>
        </w:rPr>
        <w:t>methods for reducing the number of UE Rx chains</w:t>
      </w:r>
      <w:r>
        <w:rPr>
          <w:rFonts w:hint="eastAsia" w:cs="Times New Roman"/>
          <w:sz w:val="20"/>
          <w:szCs w:val="20"/>
          <w:lang w:val="en-US" w:eastAsia="zh-CN"/>
        </w:rPr>
        <w:t>, there is one highlight agreements captured in the WF [2], which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snapToGrid/>
              <w:spacing w:after="180" w:line="240" w:lineRule="atLeast"/>
              <w:textAlignment w:val="auto"/>
              <w:rPr>
                <w:rFonts w:eastAsia="宋体"/>
                <w:color w:val="auto"/>
                <w:sz w:val="28"/>
                <w:szCs w:val="28"/>
                <w:highlight w:val="none"/>
                <w:lang w:eastAsia="zh-TW"/>
              </w:rPr>
            </w:pPr>
            <w:bookmarkStart w:id="12" w:name="OLE_LINK86"/>
            <w:r>
              <w:rPr>
                <w:color w:val="auto"/>
                <w:sz w:val="28"/>
                <w:szCs w:val="28"/>
                <w:highlight w:val="none"/>
                <w:lang w:eastAsia="ja-JP"/>
              </w:rPr>
              <w:t xml:space="preserve">Topic #2: </w:t>
            </w:r>
            <w:bookmarkStart w:id="13" w:name="OLE_LINK63"/>
            <w:r>
              <w:rPr>
                <w:color w:val="auto"/>
                <w:sz w:val="28"/>
                <w:szCs w:val="28"/>
                <w:highlight w:val="none"/>
                <w:lang w:eastAsia="ja-JP"/>
              </w:rPr>
              <w:t>Methods for reducing the number of UE Rx chains</w:t>
            </w:r>
            <w:bookmarkEnd w:id="12"/>
            <w:bookmarkEnd w:id="13"/>
          </w:p>
          <w:p>
            <w:pPr>
              <w:keepNext/>
              <w:keepLines/>
              <w:pageBreakBefore w:val="0"/>
              <w:kinsoku/>
              <w:wordWrap/>
              <w:overflowPunct/>
              <w:topLinePunct w:val="0"/>
              <w:autoSpaceDE/>
              <w:autoSpaceDN/>
              <w:bidi w:val="0"/>
              <w:adjustRightInd/>
              <w:snapToGrid/>
              <w:spacing w:beforeLines="50" w:after="60" w:afterLines="50" w:line="240" w:lineRule="atLeast"/>
              <w:jc w:val="both"/>
              <w:textAlignment w:val="auto"/>
              <w:outlineLvl w:val="3"/>
              <w:rPr>
                <w:rFonts w:ascii="Times New Roman" w:hAnsi="Times New Roman" w:eastAsia="宋体" w:cs="Times New Roman"/>
                <w:b/>
                <w:color w:val="auto"/>
                <w:kern w:val="2"/>
                <w:sz w:val="20"/>
                <w:szCs w:val="20"/>
                <w:highlight w:val="none"/>
                <w:u w:val="single"/>
                <w:lang w:val="en-US" w:eastAsia="ko-KR" w:bidi="ar-SA"/>
              </w:rPr>
            </w:pPr>
            <w:bookmarkStart w:id="14" w:name="OLE_LINK9"/>
            <w:r>
              <w:rPr>
                <w:rFonts w:ascii="Times New Roman" w:hAnsi="Times New Roman" w:eastAsia="宋体" w:cs="Times New Roman"/>
                <w:b/>
                <w:color w:val="auto"/>
                <w:kern w:val="2"/>
                <w:sz w:val="20"/>
                <w:szCs w:val="36"/>
                <w:highlight w:val="none"/>
                <w:u w:val="single"/>
                <w:lang w:val="en-US" w:eastAsia="ko-KR" w:bidi="ar-SA"/>
              </w:rPr>
              <w:t>I</w:t>
            </w:r>
            <w:r>
              <w:rPr>
                <w:rFonts w:ascii="Times New Roman" w:hAnsi="Times New Roman" w:eastAsia="宋体" w:cs="Times New Roman"/>
                <w:b/>
                <w:color w:val="auto"/>
                <w:kern w:val="2"/>
                <w:sz w:val="20"/>
                <w:szCs w:val="20"/>
                <w:highlight w:val="none"/>
                <w:u w:val="single"/>
                <w:lang w:val="en-US" w:eastAsia="ko-KR" w:bidi="ar-SA"/>
              </w:rPr>
              <w:t>ssue 2-1-1: Applicability and clarification on the scope</w:t>
            </w:r>
          </w:p>
          <w:p>
            <w:pPr>
              <w:keepNext/>
              <w:keepLines/>
              <w:pageBreakBefore w:val="0"/>
              <w:kinsoku/>
              <w:wordWrap/>
              <w:overflowPunct/>
              <w:topLinePunct w:val="0"/>
              <w:autoSpaceDE/>
              <w:autoSpaceDN/>
              <w:bidi w:val="0"/>
              <w:adjustRightInd/>
              <w:snapToGrid/>
              <w:spacing w:after="180" w:line="240" w:lineRule="atLeast"/>
              <w:textAlignment w:val="auto"/>
              <w:rPr>
                <w:rFonts w:eastAsia="宋体"/>
                <w:color w:val="auto"/>
                <w:sz w:val="20"/>
                <w:szCs w:val="20"/>
                <w:highlight w:val="none"/>
                <w:lang w:eastAsia="zh-TW"/>
              </w:rPr>
            </w:pPr>
            <w:r>
              <w:rPr>
                <w:rFonts w:eastAsia="宋体"/>
                <w:color w:val="auto"/>
                <w:sz w:val="20"/>
                <w:szCs w:val="20"/>
                <w:highlight w:val="none"/>
                <w:lang w:eastAsia="zh-TW"/>
              </w:rPr>
              <w:t>Online agreements:</w:t>
            </w:r>
          </w:p>
          <w:p>
            <w:pPr>
              <w:keepNext/>
              <w:keepLines/>
              <w:pageBreakBefore w:val="0"/>
              <w:kinsoku/>
              <w:wordWrap/>
              <w:overflowPunct/>
              <w:topLinePunct w:val="0"/>
              <w:autoSpaceDE/>
              <w:autoSpaceDN/>
              <w:bidi w:val="0"/>
              <w:adjustRightInd/>
              <w:snapToGrid/>
              <w:spacing w:after="120" w:line="240" w:lineRule="atLeast"/>
              <w:textAlignment w:val="auto"/>
              <w:rPr>
                <w:color w:val="auto"/>
                <w:sz w:val="20"/>
                <w:szCs w:val="20"/>
                <w:highlight w:val="none"/>
                <w:lang w:eastAsia="zh-CN"/>
              </w:rPr>
            </w:pPr>
            <w:r>
              <w:rPr>
                <w:color w:val="auto"/>
                <w:sz w:val="20"/>
                <w:szCs w:val="20"/>
                <w:highlight w:val="none"/>
                <w:lang w:eastAsia="zh-CN"/>
              </w:rPr>
              <w:t>Agreement:</w:t>
            </w:r>
          </w:p>
          <w:p>
            <w:pPr>
              <w:keepNext/>
              <w:keepLines/>
              <w:pageBreakBefore w:val="0"/>
              <w:numPr>
                <w:ilvl w:val="0"/>
                <w:numId w:val="7"/>
              </w:numPr>
              <w:tabs>
                <w:tab w:val="left" w:pos="720"/>
              </w:tabs>
              <w:kinsoku/>
              <w:wordWrap/>
              <w:overflowPunct/>
              <w:topLinePunct w:val="0"/>
              <w:autoSpaceDE/>
              <w:autoSpaceDN/>
              <w:bidi w:val="0"/>
              <w:adjustRightInd/>
              <w:snapToGrid/>
              <w:spacing w:beforeLines="50" w:after="180" w:afterLines="50" w:line="240" w:lineRule="atLeast"/>
              <w:ind w:left="936" w:leftChars="0" w:hanging="36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The goal of the DL fragmented carrier study is to study the method to enable support of DL non-contiguous 2CC by using a single Rx RF chain</w:t>
            </w:r>
          </w:p>
          <w:p>
            <w:pPr>
              <w:keepNext/>
              <w:keepLines/>
              <w:pageBreakBefore w:val="0"/>
              <w:numPr>
                <w:ilvl w:val="2"/>
                <w:numId w:val="7"/>
              </w:numPr>
              <w:tabs>
                <w:tab w:val="left" w:pos="720"/>
              </w:tabs>
              <w:kinsoku/>
              <w:wordWrap/>
              <w:overflowPunct/>
              <w:topLinePunct w:val="0"/>
              <w:autoSpaceDE/>
              <w:autoSpaceDN/>
              <w:bidi w:val="0"/>
              <w:adjustRightInd/>
              <w:snapToGrid/>
              <w:spacing w:beforeLines="50" w:after="180" w:afterLines="50" w:line="240" w:lineRule="atLeast"/>
              <w:ind w:left="249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The two non-contiguous CCs is still under the current DL non-contiguous CA framework</w:t>
            </w:r>
          </w:p>
          <w:p>
            <w:pPr>
              <w:keepNext/>
              <w:keepLines/>
              <w:pageBreakBefore w:val="0"/>
              <w:numPr>
                <w:ilvl w:val="3"/>
                <w:numId w:val="7"/>
              </w:numPr>
              <w:tabs>
                <w:tab w:val="left" w:pos="720"/>
              </w:tabs>
              <w:kinsoku/>
              <w:wordWrap/>
              <w:overflowPunct/>
              <w:topLinePunct w:val="0"/>
              <w:autoSpaceDE/>
              <w:autoSpaceDN/>
              <w:bidi w:val="0"/>
              <w:adjustRightInd/>
              <w:snapToGrid/>
              <w:spacing w:beforeLines="50" w:after="180" w:afterLines="50" w:line="240" w:lineRule="atLeast"/>
              <w:ind w:left="321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PMingLiU" w:cs="Times New Roman"/>
                <w:color w:val="auto"/>
                <w:kern w:val="2"/>
                <w:sz w:val="20"/>
                <w:szCs w:val="20"/>
                <w:highlight w:val="none"/>
                <w:lang w:val="en-US" w:eastAsia="zh-TW" w:bidi="ar-SA"/>
              </w:rPr>
              <w:t xml:space="preserve">Each fragment is treated as an individual CC </w:t>
            </w:r>
          </w:p>
          <w:p>
            <w:pPr>
              <w:keepNext/>
              <w:keepLines/>
              <w:pageBreakBefore w:val="0"/>
              <w:numPr>
                <w:ilvl w:val="2"/>
                <w:numId w:val="7"/>
              </w:numPr>
              <w:tabs>
                <w:tab w:val="left" w:pos="720"/>
              </w:tabs>
              <w:kinsoku/>
              <w:wordWrap/>
              <w:overflowPunct/>
              <w:topLinePunct w:val="0"/>
              <w:autoSpaceDE/>
              <w:autoSpaceDN/>
              <w:bidi w:val="0"/>
              <w:adjustRightInd/>
              <w:snapToGrid/>
              <w:spacing w:beforeLines="50" w:after="180" w:afterLines="50" w:line="240" w:lineRule="atLeast"/>
              <w:ind w:left="249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The study should be future-proof for the higher order inter/intra-band combinations or additional CC(s) within the same band with fragments within 100MHz.</w:t>
            </w:r>
          </w:p>
          <w:p>
            <w:pPr>
              <w:keepNext/>
              <w:keepLines/>
              <w:pageBreakBefore w:val="0"/>
              <w:numPr>
                <w:ilvl w:val="2"/>
                <w:numId w:val="7"/>
              </w:numPr>
              <w:tabs>
                <w:tab w:val="left" w:pos="720"/>
              </w:tabs>
              <w:kinsoku/>
              <w:wordWrap/>
              <w:overflowPunct/>
              <w:topLinePunct w:val="0"/>
              <w:autoSpaceDE/>
              <w:autoSpaceDN/>
              <w:bidi w:val="0"/>
              <w:adjustRightInd/>
              <w:snapToGrid/>
              <w:spacing w:beforeLines="50" w:after="180" w:afterLines="50" w:line="240" w:lineRule="atLeast"/>
              <w:ind w:left="2496" w:leftChars="0" w:hanging="480"/>
              <w:jc w:val="both"/>
              <w:textAlignment w:val="auto"/>
              <w:rPr>
                <w:rFonts w:ascii="Times New Roman" w:hAnsi="Times New Roman" w:eastAsia="宋体" w:cs="Times New Roman"/>
                <w:color w:val="auto"/>
                <w:kern w:val="2"/>
                <w:sz w:val="20"/>
                <w:szCs w:val="20"/>
                <w:highlight w:val="none"/>
                <w:lang w:val="en-US" w:eastAsia="zh-CN" w:bidi="ar-SA"/>
              </w:rPr>
            </w:pPr>
            <w:bookmarkStart w:id="15" w:name="OLE_LINK46"/>
            <w:bookmarkStart w:id="16" w:name="OLE_LINK35"/>
            <w:r>
              <w:rPr>
                <w:rFonts w:ascii="Times New Roman" w:hAnsi="Times New Roman" w:eastAsia="宋体" w:cs="Times New Roman"/>
                <w:color w:val="auto"/>
                <w:kern w:val="2"/>
                <w:sz w:val="20"/>
                <w:szCs w:val="20"/>
                <w:highlight w:val="none"/>
                <w:lang w:val="en-US" w:eastAsia="zh-CN" w:bidi="ar-SA"/>
              </w:rPr>
              <w:t xml:space="preserve">[The scope should be those bands, where the fragments are fully confined within 100MHz, which includes all FDD/SDL bands and TDD bands </w:t>
            </w:r>
          </w:p>
          <w:bookmarkEnd w:id="15"/>
          <w:p>
            <w:pPr>
              <w:keepNext/>
              <w:keepLines/>
              <w:pageBreakBefore w:val="0"/>
              <w:numPr>
                <w:ilvl w:val="3"/>
                <w:numId w:val="7"/>
              </w:numPr>
              <w:tabs>
                <w:tab w:val="left" w:pos="720"/>
              </w:tabs>
              <w:kinsoku/>
              <w:wordWrap/>
              <w:overflowPunct/>
              <w:topLinePunct w:val="0"/>
              <w:autoSpaceDE/>
              <w:autoSpaceDN/>
              <w:bidi w:val="0"/>
              <w:adjustRightInd/>
              <w:snapToGrid/>
              <w:spacing w:beforeLines="50" w:after="180" w:afterLines="50" w:line="240" w:lineRule="atLeast"/>
              <w:ind w:left="321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Consider n2/n25, n3, n7, n66, n41, n39 as the example bands.</w:t>
            </w:r>
          </w:p>
          <w:p>
            <w:pPr>
              <w:keepNext/>
              <w:keepLines/>
              <w:pageBreakBefore w:val="0"/>
              <w:numPr>
                <w:ilvl w:val="4"/>
                <w:numId w:val="7"/>
              </w:numPr>
              <w:tabs>
                <w:tab w:val="left" w:pos="720"/>
              </w:tabs>
              <w:kinsoku/>
              <w:wordWrap/>
              <w:overflowPunct/>
              <w:topLinePunct w:val="0"/>
              <w:autoSpaceDE/>
              <w:autoSpaceDN/>
              <w:bidi w:val="0"/>
              <w:adjustRightInd/>
              <w:snapToGrid/>
              <w:spacing w:beforeLines="50" w:after="180" w:afterLines="50" w:line="240" w:lineRule="atLeast"/>
              <w:ind w:left="3816" w:leftChars="0" w:hanging="360"/>
              <w:jc w:val="both"/>
              <w:textAlignment w:val="auto"/>
              <w:rPr>
                <w:rFonts w:hint="default" w:cs="Times New Roman"/>
                <w:sz w:val="20"/>
                <w:szCs w:val="20"/>
                <w:vertAlign w:val="baseline"/>
                <w:lang w:val="en-US" w:eastAsia="zh-CN"/>
              </w:rPr>
            </w:pPr>
            <w:bookmarkStart w:id="17" w:name="OLE_LINK47"/>
            <w:r>
              <w:rPr>
                <w:rFonts w:ascii="Times New Roman" w:hAnsi="Times New Roman" w:eastAsia="宋体" w:cs="Times New Roman"/>
                <w:color w:val="auto"/>
                <w:kern w:val="2"/>
                <w:sz w:val="20"/>
                <w:szCs w:val="20"/>
                <w:highlight w:val="none"/>
                <w:lang w:val="en-US" w:eastAsia="zh-CN" w:bidi="ar-SA"/>
              </w:rPr>
              <w:t>Provide the details related to gap between fragmented DL blocks]</w:t>
            </w:r>
            <w:bookmarkEnd w:id="14"/>
            <w:bookmarkEnd w:id="16"/>
            <w:bookmarkEnd w:id="17"/>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terms of the above agreements, some high level clarifications for the SID are included, such as: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1. one CC in each fragment for intra-band DL NC CA (current goal)</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2. More than one CC in one fragment or </w:t>
      </w:r>
      <w:r>
        <w:rPr>
          <w:rFonts w:ascii="Times New Roman" w:hAnsi="Times New Roman" w:eastAsia="宋体" w:cs="Times New Roman"/>
          <w:color w:val="auto"/>
          <w:kern w:val="2"/>
          <w:sz w:val="20"/>
          <w:szCs w:val="20"/>
          <w:highlight w:val="none"/>
          <w:lang w:val="en-US" w:eastAsia="zh-CN" w:bidi="ar-SA"/>
        </w:rPr>
        <w:t>higher order inter/intra-band combinations</w:t>
      </w:r>
      <w:r>
        <w:rPr>
          <w:rFonts w:hint="eastAsia" w:cs="Times New Roman"/>
          <w:b w:val="0"/>
          <w:bCs w:val="0"/>
          <w:kern w:val="0"/>
          <w:sz w:val="20"/>
          <w:szCs w:val="20"/>
          <w:highlight w:val="none"/>
          <w:lang w:val="en-US" w:eastAsia="zh-CN"/>
        </w:rPr>
        <w:t xml:space="preserve"> (long term goal)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color w:val="auto"/>
          <w:kern w:val="2"/>
          <w:sz w:val="20"/>
          <w:szCs w:val="20"/>
          <w:highlight w:val="none"/>
          <w:lang w:val="en-US" w:eastAsia="zh-CN" w:bidi="ar-SA"/>
        </w:rPr>
      </w:pPr>
      <w:r>
        <w:rPr>
          <w:rFonts w:hint="eastAsia" w:cs="Times New Roman"/>
          <w:b w:val="0"/>
          <w:bCs w:val="0"/>
          <w:kern w:val="0"/>
          <w:sz w:val="20"/>
          <w:szCs w:val="20"/>
          <w:highlight w:val="none"/>
          <w:lang w:val="en-US" w:eastAsia="zh-CN"/>
        </w:rPr>
        <w:t xml:space="preserve">3. </w:t>
      </w:r>
      <w:r>
        <w:rPr>
          <w:color w:val="auto"/>
          <w:sz w:val="20"/>
          <w:szCs w:val="20"/>
          <w:highlight w:val="none"/>
        </w:rPr>
        <w:t>frequency span</w:t>
      </w:r>
      <w:r>
        <w:rPr>
          <w:rFonts w:hint="default" w:ascii="Times New Roman" w:hAnsi="Times New Roman" w:cs="Times New Roman"/>
          <w:color w:val="auto"/>
          <w:sz w:val="20"/>
          <w:szCs w:val="20"/>
          <w:highlight w:val="none"/>
        </w:rPr>
        <w:t xml:space="preserve">≤ </w:t>
      </w:r>
      <w:r>
        <w:rPr>
          <w:rFonts w:hint="eastAsia"/>
          <w:color w:val="auto"/>
          <w:sz w:val="20"/>
          <w:szCs w:val="20"/>
          <w:highlight w:val="none"/>
        </w:rPr>
        <w:t xml:space="preserve">100 </w:t>
      </w:r>
      <w:r>
        <w:rPr>
          <w:rFonts w:hint="eastAsia"/>
          <w:color w:val="auto"/>
          <w:sz w:val="20"/>
          <w:szCs w:val="20"/>
          <w:highlight w:val="none"/>
          <w:lang w:val="en-US" w:eastAsia="zh-CN"/>
        </w:rPr>
        <w:t xml:space="preserve">is for </w:t>
      </w:r>
      <w:r>
        <w:rPr>
          <w:rFonts w:ascii="Times New Roman" w:hAnsi="Times New Roman" w:eastAsia="宋体" w:cs="Times New Roman"/>
          <w:color w:val="auto"/>
          <w:kern w:val="2"/>
          <w:sz w:val="20"/>
          <w:szCs w:val="20"/>
          <w:highlight w:val="none"/>
          <w:lang w:val="en-US" w:eastAsia="zh-CN" w:bidi="ar-SA"/>
        </w:rPr>
        <w:t>fragments</w:t>
      </w:r>
      <w:r>
        <w:rPr>
          <w:rFonts w:hint="eastAsia" w:cs="Times New Roman"/>
          <w:color w:val="auto"/>
          <w:kern w:val="2"/>
          <w:sz w:val="20"/>
          <w:szCs w:val="20"/>
          <w:highlight w:val="none"/>
          <w:lang w:val="en-US" w:eastAsia="zh-CN" w:bidi="ar-SA"/>
        </w:rPr>
        <w:t xml:space="preserve"> frequency range, rather than band frequency range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color w:val="auto"/>
          <w:kern w:val="2"/>
          <w:sz w:val="20"/>
          <w:szCs w:val="20"/>
          <w:highlight w:val="none"/>
          <w:lang w:val="en-US" w:eastAsia="zh-CN" w:bidi="ar-SA"/>
        </w:rPr>
      </w:pPr>
      <w:r>
        <w:rPr>
          <w:rFonts w:hint="eastAsia" w:cs="Times New Roman"/>
          <w:color w:val="auto"/>
          <w:kern w:val="2"/>
          <w:sz w:val="20"/>
          <w:szCs w:val="20"/>
          <w:highlight w:val="none"/>
          <w:lang w:val="en-US" w:eastAsia="zh-CN" w:bidi="ar-SA"/>
        </w:rPr>
        <w:t>4. Scope for the band/example bands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ascii="Times New Roman" w:hAnsi="Times New Roman" w:cs="Times New Roman"/>
          <w:b w:val="0"/>
          <w:bCs w:val="0"/>
          <w:kern w:val="0"/>
          <w:sz w:val="20"/>
          <w:szCs w:val="20"/>
          <w:highlight w:val="none"/>
          <w:lang w:val="en-US" w:eastAsia="zh-CN"/>
        </w:rPr>
      </w:pPr>
      <w:r>
        <w:rPr>
          <w:rFonts w:hint="default" w:ascii="Times New Roman" w:hAnsi="Times New Roman" w:cs="Times New Roman"/>
          <w:b w:val="0"/>
          <w:bCs w:val="0"/>
          <w:kern w:val="0"/>
          <w:sz w:val="20"/>
          <w:szCs w:val="20"/>
          <w:highlight w:val="none"/>
          <w:lang w:val="en-US" w:eastAsia="zh-CN"/>
        </w:rPr>
        <w:t xml:space="preserve">For the last one, square bracket is added due to companies share different views on how to select the example bands. In our understanding, at least the </w:t>
      </w:r>
      <w:r>
        <w:rPr>
          <w:rFonts w:hint="default" w:ascii="Times New Roman" w:hAnsi="Times New Roman" w:eastAsia="宋体" w:cs="Times New Roman"/>
          <w:color w:val="auto"/>
          <w:kern w:val="2"/>
          <w:sz w:val="20"/>
          <w:szCs w:val="20"/>
          <w:highlight w:val="none"/>
          <w:lang w:val="en-US" w:eastAsia="zh-CN" w:bidi="ar-SA"/>
        </w:rPr>
        <w:t>scope should be those bands, where the fragments are fully confined within 100MHz, which includes all FDD/SDL bands and TDD bands</w:t>
      </w:r>
      <w:r>
        <w:rPr>
          <w:rFonts w:hint="default" w:ascii="Times New Roman" w:hAnsi="Times New Roman" w:cs="Times New Roman"/>
          <w:color w:val="auto"/>
          <w:kern w:val="2"/>
          <w:sz w:val="20"/>
          <w:szCs w:val="20"/>
          <w:highlight w:val="none"/>
          <w:lang w:val="en-US" w:eastAsia="zh-CN" w:bidi="ar-SA"/>
        </w:rPr>
        <w:t xml:space="preserve"> considering the </w:t>
      </w:r>
      <w:r>
        <w:rPr>
          <w:rFonts w:hint="default" w:ascii="Times New Roman" w:hAnsi="Times New Roman" w:cs="Times New Roman"/>
          <w:b w:val="0"/>
          <w:bCs w:val="0"/>
          <w:kern w:val="0"/>
          <w:sz w:val="20"/>
          <w:szCs w:val="20"/>
          <w:highlight w:val="none"/>
          <w:lang w:val="en-US" w:eastAsia="zh-CN"/>
        </w:rPr>
        <w:t>long term goal for this SID.</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ascii="Times New Roman" w:hAnsi="Times New Roman" w:cs="Times New Roman"/>
          <w:b w:val="0"/>
          <w:bCs w:val="0"/>
          <w:kern w:val="0"/>
          <w:sz w:val="20"/>
          <w:szCs w:val="20"/>
          <w:highlight w:val="none"/>
          <w:lang w:val="en-US" w:eastAsia="zh-CN"/>
        </w:rPr>
      </w:pPr>
      <w:r>
        <w:rPr>
          <w:rFonts w:hint="default" w:ascii="Times New Roman" w:hAnsi="Times New Roman" w:cs="Times New Roman"/>
          <w:b w:val="0"/>
          <w:bCs w:val="0"/>
          <w:kern w:val="0"/>
          <w:sz w:val="20"/>
          <w:szCs w:val="20"/>
          <w:highlight w:val="none"/>
          <w:lang w:val="en-US" w:eastAsia="zh-CN"/>
        </w:rPr>
        <w:t xml:space="preserve">For the example, in terms of the last discussion, there are no criteria to decide the example bands, instead some companies verbally propose some example bands. In our understanding, the selections for the example bands mainly to study the impact RF requirements (including </w:t>
      </w:r>
      <w:r>
        <w:rPr>
          <w:rFonts w:hint="default" w:ascii="Times New Roman" w:hAnsi="Times New Roman" w:eastAsia="宋体" w:cs="Times New Roman"/>
          <w:b w:val="0"/>
          <w:bCs w:val="0"/>
          <w:kern w:val="0"/>
          <w:sz w:val="20"/>
          <w:szCs w:val="20"/>
          <w:highlight w:val="none"/>
          <w:lang w:val="en-US" w:eastAsia="zh-CN"/>
        </w:rPr>
        <w:t>Δ</w:t>
      </w:r>
      <w:r>
        <w:rPr>
          <w:rFonts w:hint="default" w:ascii="Times New Roman" w:hAnsi="Times New Roman" w:cs="Times New Roman"/>
          <w:b w:val="0"/>
          <w:bCs w:val="0"/>
          <w:kern w:val="0"/>
          <w:sz w:val="20"/>
          <w:szCs w:val="20"/>
          <w:highlight w:val="none"/>
          <w:lang w:val="en-US" w:eastAsia="zh-CN"/>
        </w:rPr>
        <w:t>R</w:t>
      </w:r>
      <w:r>
        <w:rPr>
          <w:rFonts w:hint="default" w:ascii="Times New Roman" w:hAnsi="Times New Roman" w:cs="Times New Roman"/>
          <w:b w:val="0"/>
          <w:bCs w:val="0"/>
          <w:kern w:val="0"/>
          <w:sz w:val="20"/>
          <w:szCs w:val="20"/>
          <w:highlight w:val="none"/>
          <w:vertAlign w:val="subscript"/>
          <w:lang w:val="en-US" w:eastAsia="zh-CN"/>
        </w:rPr>
        <w:t>IB,NC</w:t>
      </w:r>
      <w:r>
        <w:rPr>
          <w:rFonts w:hint="default" w:ascii="Times New Roman" w:hAnsi="Times New Roman" w:cs="Times New Roman"/>
          <w:b w:val="0"/>
          <w:bCs w:val="0"/>
          <w:kern w:val="0"/>
          <w:sz w:val="20"/>
          <w:szCs w:val="20"/>
          <w:highlight w:val="none"/>
          <w:lang w:val="en-US" w:eastAsia="zh-CN"/>
        </w:rPr>
        <w:t>). In current spec, for the Rx RF requirements for the intra-band NC CA:</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1. </w:t>
      </w:r>
      <w:r>
        <w:rPr>
          <w:rFonts w:hint="default" w:ascii="Times New Roman" w:hAnsi="Times New Roman" w:eastAsia="宋体" w:cs="Times New Roman"/>
          <w:b w:val="0"/>
          <w:bCs w:val="0"/>
          <w:kern w:val="0"/>
          <w:sz w:val="20"/>
          <w:szCs w:val="20"/>
          <w:highlight w:val="none"/>
          <w:lang w:val="en-US" w:eastAsia="zh-CN"/>
        </w:rPr>
        <w:t>Δ</w:t>
      </w:r>
      <w:r>
        <w:rPr>
          <w:rFonts w:hint="eastAsia" w:cs="Times New Roman"/>
          <w:b w:val="0"/>
          <w:bCs w:val="0"/>
          <w:kern w:val="0"/>
          <w:sz w:val="20"/>
          <w:szCs w:val="20"/>
          <w:highlight w:val="none"/>
          <w:lang w:val="en-US" w:eastAsia="zh-CN"/>
        </w:rPr>
        <w:t>R</w:t>
      </w:r>
      <w:r>
        <w:rPr>
          <w:rFonts w:hint="eastAsia" w:cs="Times New Roman"/>
          <w:b w:val="0"/>
          <w:bCs w:val="0"/>
          <w:kern w:val="0"/>
          <w:sz w:val="20"/>
          <w:szCs w:val="20"/>
          <w:highlight w:val="none"/>
          <w:vertAlign w:val="subscript"/>
          <w:lang w:val="en-US" w:eastAsia="zh-CN"/>
        </w:rPr>
        <w:t xml:space="preserve">IB,NC </w:t>
      </w:r>
      <w:r>
        <w:rPr>
          <w:rFonts w:hint="eastAsia" w:cs="Times New Roman"/>
          <w:b w:val="0"/>
          <w:bCs w:val="0"/>
          <w:kern w:val="0"/>
          <w:sz w:val="20"/>
          <w:szCs w:val="20"/>
          <w:highlight w:val="none"/>
          <w:lang w:val="en-US" w:eastAsia="zh-CN"/>
        </w:rPr>
        <w:t>requirements are only defined for FDD intra-band NC CA</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2. The other Rx requirements are defined for all the bands (</w:t>
      </w:r>
      <w:r>
        <w:rPr>
          <w:rFonts w:hint="default" w:ascii="Times New Roman" w:hAnsi="Times New Roman" w:cs="Times New Roman"/>
          <w:color w:val="auto"/>
          <w:sz w:val="20"/>
          <w:szCs w:val="20"/>
          <w:highlight w:val="none"/>
        </w:rPr>
        <w:t>≤</w:t>
      </w:r>
      <w:r>
        <w:rPr>
          <w:rFonts w:hint="eastAsia" w:cs="Times New Roman"/>
          <w:b w:val="0"/>
          <w:bCs w:val="0"/>
          <w:kern w:val="0"/>
          <w:sz w:val="20"/>
          <w:szCs w:val="20"/>
          <w:highlight w:val="none"/>
          <w:lang w:val="en-US" w:eastAsia="zh-CN"/>
        </w:rPr>
        <w:t xml:space="preserve">2700MHz, </w:t>
      </w:r>
      <w:r>
        <w:rPr>
          <w:rFonts w:hint="default" w:ascii="Arial" w:hAnsi="Arial" w:cs="Arial"/>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 3300MHz)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FDD band intra-band non-contiguous CA, the UL Tx noise caused by Tx chain/PA leakage and Tx spectrum spreading into DL Rx path shall be taken into account since the duplexer gap for some FDD bands are small, and such small duplexer gap cannot provide enough attenuation for the filters design. The UL Tx noise falls into DL Rx associated with its own Rx IIP2 will cause the REFSENS degradation.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sz w:val="20"/>
          <w:szCs w:val="20"/>
          <w:lang w:val="en-US" w:eastAsia="zh-CN"/>
        </w:rPr>
        <w:t>Sharing Rx RF chain means the shared filter cannot filter out each carrier anymore. the interference appeared in the gap is located in the pass band of the filter, and the filter cannot provide the attenuation in the gap between the two DL carriers. Thus t</w:t>
      </w:r>
      <w:r>
        <w:rPr>
          <w:rFonts w:hint="eastAsia" w:cs="Times New Roman"/>
          <w:b w:val="0"/>
          <w:bCs w:val="0"/>
          <w:kern w:val="0"/>
          <w:sz w:val="20"/>
          <w:szCs w:val="20"/>
          <w:highlight w:val="none"/>
          <w:lang w:val="en-US" w:eastAsia="zh-CN"/>
        </w:rPr>
        <w:t xml:space="preserve">he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 xml:space="preserve">requirements for FDD intra-band NC CA would become larger [3] which are needed to be re-evaluated.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TS38.101-1, there are several intra-band DL CA configurations with PC2/3 1/2UL have the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 xml:space="preserve">requirement defined, which is summarized in Table 1.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Meanwhile, we think the existing test points are reasonable to be reused </w:t>
      </w:r>
    </w:p>
    <w:p>
      <w:pPr>
        <w:keepNext/>
        <w:keepLines/>
        <w:pageBreakBefore w:val="0"/>
        <w:widowControl w:val="0"/>
        <w:suppressLineNumbers w:val="0"/>
        <w:kinsoku/>
        <w:wordWrap/>
        <w:overflowPunct/>
        <w:topLinePunct w:val="0"/>
        <w:autoSpaceDE/>
        <w:autoSpaceDN/>
        <w:bidi w:val="0"/>
        <w:adjustRightInd/>
        <w:snapToGrid/>
        <w:jc w:val="center"/>
        <w:textAlignment w:val="auto"/>
        <w:rPr>
          <w:rFonts w:hint="default" w:eastAsia="宋体"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Table 1. </w:t>
      </w:r>
      <w:r>
        <w:rPr>
          <w:szCs w:val="18"/>
        </w:rPr>
        <w:t>ΔR</w:t>
      </w:r>
      <w:r>
        <w:rPr>
          <w:szCs w:val="18"/>
          <w:vertAlign w:val="subscript"/>
        </w:rPr>
        <w:t>IBNC</w:t>
      </w:r>
      <w:r>
        <w:rPr>
          <w:szCs w:val="18"/>
        </w:rPr>
        <w:t xml:space="preserve"> </w:t>
      </w:r>
      <w:r>
        <w:rPr>
          <w:rFonts w:hint="eastAsia"/>
          <w:szCs w:val="18"/>
          <w:lang w:val="en-US" w:eastAsia="zh-CN"/>
        </w:rPr>
        <w:t xml:space="preserve">requirements for the </w:t>
      </w:r>
      <w:r>
        <w:rPr>
          <w:lang w:val="en-US"/>
        </w:rPr>
        <w:t>Intra-band non-contiguous CA</w:t>
      </w:r>
      <w:r>
        <w:rPr>
          <w:rFonts w:hint="eastAsia"/>
          <w:lang w:val="en-US" w:eastAsia="zh-CN"/>
        </w:rPr>
        <w:t xml:space="preserve"> with (2A) configuration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cs="Arial"/>
              </w:rPr>
              <w:t>CA configuration</w:t>
            </w:r>
            <w:r>
              <w:rPr>
                <w:rFonts w:hint="eastAsia" w:cs="Arial"/>
                <w:lang w:val="en-US" w:eastAsia="zh-CN"/>
              </w:rPr>
              <w:t xml:space="preserve"> (</w:t>
            </w:r>
            <w:r>
              <w:rPr>
                <w:szCs w:val="18"/>
              </w:rPr>
              <w:t>ΔR</w:t>
            </w:r>
            <w:r>
              <w:rPr>
                <w:szCs w:val="18"/>
                <w:vertAlign w:val="subscript"/>
              </w:rPr>
              <w:t>IBNC</w:t>
            </w:r>
            <w:r>
              <w:rPr>
                <w:szCs w:val="18"/>
              </w:rPr>
              <w:t xml:space="preserve"> </w:t>
            </w:r>
            <w:r>
              <w:rPr>
                <w:rFonts w:hint="eastAsia"/>
                <w:szCs w:val="18"/>
                <w:lang w:val="en-US" w:eastAsia="zh-CN"/>
              </w:rPr>
              <w:t>is defined)</w:t>
            </w:r>
          </w:p>
        </w:tc>
        <w:tc>
          <w:tcPr>
            <w:tcW w:w="4938" w:type="dxa"/>
          </w:tcPr>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Tables in sub-clause 7.3A.2.2 ( TS38.101-1 v18.6.0)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lang w:val="en-US" w:eastAsia="zh-CN"/>
              </w:rPr>
            </w:pPr>
            <w:r>
              <w:t>CA_n1(2A)</w:t>
            </w:r>
            <w:r>
              <w:rPr>
                <w:rFonts w:hint="eastAsia"/>
                <w:lang w:val="en-US" w:eastAsia="zh-CN"/>
              </w:rPr>
              <w:t xml:space="preserve">, </w:t>
            </w:r>
            <w:r>
              <w:t>CA_n</w:t>
            </w:r>
            <w:r>
              <w:rPr>
                <w:rFonts w:hint="eastAsia"/>
                <w:lang w:val="en-US" w:eastAsia="zh-CN"/>
              </w:rPr>
              <w:t>2</w:t>
            </w:r>
            <w:r>
              <w:t>(2A)</w:t>
            </w:r>
            <w:r>
              <w:rPr>
                <w:rFonts w:hint="eastAsia"/>
                <w:lang w:val="en-US" w:eastAsia="zh-CN"/>
              </w:rPr>
              <w:t xml:space="preserve">, </w:t>
            </w:r>
            <w:r>
              <w:t>CA_n</w:t>
            </w:r>
            <w:r>
              <w:rPr>
                <w:rFonts w:hint="eastAsia"/>
                <w:lang w:val="en-US" w:eastAsia="zh-CN"/>
              </w:rPr>
              <w:t>3</w:t>
            </w:r>
            <w:r>
              <w:t>(2A)</w:t>
            </w:r>
            <w:r>
              <w:rPr>
                <w:rFonts w:hint="eastAsia"/>
                <w:lang w:val="en-US" w:eastAsia="zh-CN"/>
              </w:rPr>
              <w:t xml:space="preserve">, </w:t>
            </w:r>
            <w:r>
              <w:t>CA_n</w:t>
            </w:r>
            <w:r>
              <w:rPr>
                <w:rFonts w:hint="eastAsia"/>
                <w:lang w:val="en-US" w:eastAsia="zh-CN"/>
              </w:rPr>
              <w:t>5</w:t>
            </w:r>
            <w:r>
              <w:t>(2A)</w:t>
            </w:r>
            <w:r>
              <w:rPr>
                <w:rFonts w:hint="eastAsia"/>
                <w:lang w:val="en-US" w:eastAsia="zh-CN"/>
              </w:rPr>
              <w:t>,</w:t>
            </w:r>
          </w:p>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lang w:val="en-US" w:eastAsia="zh-CN"/>
              </w:rPr>
            </w:pPr>
            <w:r>
              <w:t>CA_n</w:t>
            </w:r>
            <w:r>
              <w:rPr>
                <w:rFonts w:hint="eastAsia"/>
                <w:lang w:val="en-US" w:eastAsia="zh-CN"/>
              </w:rPr>
              <w:t>7</w:t>
            </w:r>
            <w:r>
              <w:t>(2A)</w:t>
            </w:r>
            <w:r>
              <w:rPr>
                <w:rFonts w:hint="eastAsia"/>
                <w:lang w:val="en-US" w:eastAsia="zh-CN"/>
              </w:rPr>
              <w:t xml:space="preserve">, </w:t>
            </w:r>
            <w:r>
              <w:t>CA_n1</w:t>
            </w:r>
            <w:r>
              <w:rPr>
                <w:rFonts w:hint="eastAsia"/>
                <w:lang w:val="en-US" w:eastAsia="zh-CN"/>
              </w:rPr>
              <w:t>2</w:t>
            </w:r>
            <w:r>
              <w:t>(2A)</w:t>
            </w:r>
            <w:r>
              <w:rPr>
                <w:rFonts w:hint="eastAsia"/>
                <w:lang w:val="en-US" w:eastAsia="zh-CN"/>
              </w:rPr>
              <w:t xml:space="preserve">, </w:t>
            </w:r>
            <w:r>
              <w:t>CA_n</w:t>
            </w:r>
            <w:r>
              <w:rPr>
                <w:rFonts w:hint="eastAsia"/>
                <w:lang w:val="en-US" w:eastAsia="zh-CN"/>
              </w:rPr>
              <w:t>25</w:t>
            </w:r>
            <w:r>
              <w:t>(2A)</w:t>
            </w:r>
            <w:r>
              <w:rPr>
                <w:rFonts w:hint="eastAsia"/>
                <w:lang w:val="en-US" w:eastAsia="zh-CN"/>
              </w:rPr>
              <w:t xml:space="preserve">, </w:t>
            </w:r>
            <w:r>
              <w:t>CA_n</w:t>
            </w:r>
            <w:r>
              <w:rPr>
                <w:rFonts w:hint="eastAsia"/>
                <w:lang w:val="en-US" w:eastAsia="zh-CN"/>
              </w:rPr>
              <w:t>26</w:t>
            </w:r>
            <w:r>
              <w:t>(2A)</w:t>
            </w:r>
            <w:r>
              <w:rPr>
                <w:rFonts w:hint="eastAsia"/>
                <w:lang w:val="en-US" w:eastAsia="zh-CN"/>
              </w:rPr>
              <w:t>,</w:t>
            </w:r>
          </w:p>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eastAsia="宋体"/>
                <w:lang w:val="en-US" w:eastAsia="zh-CN"/>
              </w:rPr>
            </w:pPr>
            <w:r>
              <w:t>CA_n</w:t>
            </w:r>
            <w:r>
              <w:rPr>
                <w:rFonts w:hint="eastAsia"/>
                <w:lang w:val="en-US" w:eastAsia="zh-CN"/>
              </w:rPr>
              <w:t>66</w:t>
            </w:r>
            <w:r>
              <w:t>(2A)</w:t>
            </w:r>
            <w:r>
              <w:rPr>
                <w:rFonts w:hint="eastAsia"/>
                <w:lang w:val="en-US" w:eastAsia="zh-CN"/>
              </w:rPr>
              <w:t xml:space="preserve">, </w:t>
            </w:r>
            <w:r>
              <w:t>CA_n</w:t>
            </w:r>
            <w:r>
              <w:rPr>
                <w:rFonts w:hint="eastAsia"/>
                <w:lang w:val="en-US" w:eastAsia="zh-CN"/>
              </w:rPr>
              <w:t>7</w:t>
            </w:r>
            <w:r>
              <w:t>1(2A)</w:t>
            </w:r>
          </w:p>
        </w:tc>
        <w:tc>
          <w:tcPr>
            <w:tcW w:w="4938" w:type="dxa"/>
          </w:tcPr>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eastAsia="宋体" w:cs="Times New Roman"/>
                <w:b w:val="0"/>
                <w:bCs w:val="0"/>
                <w:kern w:val="0"/>
                <w:sz w:val="20"/>
                <w:szCs w:val="20"/>
                <w:highlight w:val="none"/>
                <w:vertAlign w:val="baseline"/>
                <w:lang w:val="en-US" w:eastAsia="zh-CN"/>
              </w:rPr>
            </w:pPr>
            <w:r>
              <w:t>Table 7.3A.2.2-1:</w:t>
            </w:r>
            <w:r>
              <w:rPr>
                <w:lang w:val="en-US"/>
              </w:rPr>
              <w:t xml:space="preserve"> Intra-band non-contiguous CA with one uplink configuration</w:t>
            </w:r>
            <w:r>
              <w:rPr>
                <w:rFonts w:hint="eastAsia"/>
                <w:lang w:val="en-US" w:eastAsia="zh-CN"/>
              </w:rPr>
              <w:t xml:space="preserve">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t>CA_n</w:t>
            </w:r>
            <w:r>
              <w:rPr>
                <w:rFonts w:hint="eastAsia"/>
                <w:lang w:val="en-US" w:eastAsia="zh-CN"/>
              </w:rPr>
              <w:t>25</w:t>
            </w:r>
            <w:r>
              <w:t>(2A)</w:t>
            </w:r>
            <w:r>
              <w:rPr>
                <w:rFonts w:hint="eastAsia"/>
                <w:lang w:val="en-US" w:eastAsia="zh-CN"/>
              </w:rPr>
              <w:t xml:space="preserve">, </w:t>
            </w:r>
            <w:r>
              <w:t>CA_n</w:t>
            </w:r>
            <w:r>
              <w:rPr>
                <w:rFonts w:hint="eastAsia"/>
                <w:lang w:val="en-US" w:eastAsia="zh-CN"/>
              </w:rPr>
              <w:t>66</w:t>
            </w:r>
            <w:r>
              <w:t>(2A)</w:t>
            </w:r>
            <w:r>
              <w:rPr>
                <w:rFonts w:hint="eastAsia"/>
                <w:lang w:val="en-US" w:eastAsia="zh-CN"/>
              </w:rPr>
              <w:t xml:space="preserve">, </w:t>
            </w:r>
            <w:r>
              <w:t>CA_n</w:t>
            </w:r>
            <w:r>
              <w:rPr>
                <w:rFonts w:hint="eastAsia"/>
                <w:lang w:val="en-US" w:eastAsia="zh-CN"/>
              </w:rPr>
              <w:t>7</w:t>
            </w:r>
            <w:r>
              <w:t>1(2A)</w:t>
            </w:r>
          </w:p>
        </w:tc>
        <w:tc>
          <w:tcPr>
            <w:tcW w:w="4938" w:type="dxa"/>
          </w:tcPr>
          <w:p>
            <w:pPr>
              <w:pStyle w:val="57"/>
              <w:overflowPunct w:val="0"/>
              <w:autoSpaceDE w:val="0"/>
              <w:autoSpaceDN w:val="0"/>
              <w:adjustRightInd w:val="0"/>
              <w:spacing w:before="0" w:beforeLines="0" w:after="180" w:afterLines="0" w:line="240" w:lineRule="auto"/>
              <w:jc w:val="left"/>
              <w:textAlignment w:val="baseline"/>
              <w:rPr>
                <w:rFonts w:hint="eastAsia" w:cs="Times New Roman"/>
                <w:b w:val="0"/>
                <w:bCs w:val="0"/>
                <w:kern w:val="0"/>
                <w:sz w:val="20"/>
                <w:szCs w:val="20"/>
                <w:highlight w:val="none"/>
                <w:vertAlign w:val="baseline"/>
                <w:lang w:val="en-US" w:eastAsia="zh-CN"/>
              </w:rPr>
            </w:pPr>
            <w:r>
              <w:rPr>
                <w:rFonts w:ascii="Times New Roman" w:hAnsi="Times New Roman" w:eastAsia="宋体"/>
                <w:b w:val="0"/>
              </w:rPr>
              <w:t>Table 7.3A.2.2-1a:</w:t>
            </w:r>
            <w:r>
              <w:rPr>
                <w:rFonts w:ascii="Times New Roman" w:hAnsi="Times New Roman" w:eastAsia="宋体"/>
                <w:b w:val="0"/>
                <w:lang w:val="en-US"/>
              </w:rPr>
              <w:t xml:space="preserve"> Power class 2 intra-band non-contiguous CA reference sensitivity with one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keepLines/>
              <w:pageBreakBefore w:val="0"/>
              <w:widowControl w:val="0"/>
              <w:suppressLineNumbers w:val="0"/>
              <w:kinsoku/>
              <w:wordWrap/>
              <w:overflowPunct/>
              <w:topLinePunct w:val="0"/>
              <w:autoSpaceDE/>
              <w:autoSpaceDN/>
              <w:bidi w:val="0"/>
              <w:adjustRightInd/>
              <w:snapToGrid/>
              <w:spacing w:beforeLines="0" w:after="180" w:afterLines="0" w:line="240" w:lineRule="auto"/>
              <w:jc w:val="left"/>
              <w:textAlignment w:val="auto"/>
            </w:pPr>
            <w:r>
              <w:t>CA_n26(2A)</w:t>
            </w:r>
          </w:p>
        </w:tc>
        <w:tc>
          <w:tcPr>
            <w:tcW w:w="4938" w:type="dxa"/>
          </w:tcPr>
          <w:p>
            <w:pPr>
              <w:pStyle w:val="57"/>
              <w:overflowPunct w:val="0"/>
              <w:autoSpaceDE w:val="0"/>
              <w:autoSpaceDN w:val="0"/>
              <w:adjustRightInd w:val="0"/>
              <w:spacing w:before="0" w:beforeLines="0" w:after="180" w:afterLines="0" w:line="240" w:lineRule="auto"/>
              <w:jc w:val="left"/>
              <w:textAlignment w:val="baseline"/>
              <w:rPr>
                <w:rFonts w:hint="eastAsia" w:cs="Times New Roman"/>
                <w:b w:val="0"/>
                <w:bCs w:val="0"/>
                <w:kern w:val="0"/>
                <w:sz w:val="20"/>
                <w:szCs w:val="20"/>
                <w:highlight w:val="none"/>
                <w:vertAlign w:val="baseline"/>
                <w:lang w:val="en-US" w:eastAsia="zh-CN"/>
              </w:rPr>
            </w:pPr>
            <w:r>
              <w:rPr>
                <w:rFonts w:ascii="Times New Roman" w:hAnsi="Times New Roman"/>
                <w:b w:val="0"/>
              </w:rPr>
              <w:t>Table 7.3A.2.2-2:</w:t>
            </w:r>
            <w:r>
              <w:rPr>
                <w:rFonts w:ascii="Times New Roman" w:hAnsi="Times New Roman"/>
                <w:b w:val="0"/>
                <w:lang w:val="en-US"/>
              </w:rPr>
              <w:t xml:space="preserve"> Intra-band non-contiguous CA with two uplink carriers configuration for reference sensitivity in FDD bands.</w:t>
            </w:r>
            <w:r>
              <w:rPr>
                <w:rFonts w:hint="eastAsia" w:ascii="Times New Roman" w:hAnsi="Times New Roman"/>
                <w:b w:val="0"/>
                <w:lang w:val="en-US" w:eastAsia="zh-CN"/>
              </w:rPr>
              <w:t xml:space="preserve"> (PC3)</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Unlike FDD, there is no duplexer gap for TDD band, so there are no </w:t>
      </w:r>
      <w:r>
        <w:rPr>
          <w:rFonts w:hint="default" w:ascii="Times New Roman" w:hAnsi="Times New Roman" w:cs="Times New Roman"/>
          <w:b w:val="0"/>
          <w:bCs w:val="0"/>
          <w:kern w:val="0"/>
          <w:sz w:val="20"/>
          <w:szCs w:val="20"/>
          <w:highlight w:val="none"/>
          <w:lang w:val="en-US" w:eastAsia="zh-CN"/>
        </w:rPr>
        <w:t>ΔR</w:t>
      </w:r>
      <w:r>
        <w:rPr>
          <w:rFonts w:hint="default" w:ascii="Times New Roman" w:hAnsi="Times New Roman" w:cs="Times New Roman"/>
          <w:b w:val="0"/>
          <w:bCs w:val="0"/>
          <w:kern w:val="0"/>
          <w:sz w:val="20"/>
          <w:szCs w:val="20"/>
          <w:highlight w:val="none"/>
          <w:vertAlign w:val="subscript"/>
          <w:lang w:val="en-US" w:eastAsia="zh-CN"/>
        </w:rPr>
        <w:t>IBNC</w:t>
      </w:r>
      <w:r>
        <w:rPr>
          <w:rFonts w:hint="eastAsia" w:cs="Times New Roman"/>
          <w:b w:val="0"/>
          <w:bCs w:val="0"/>
          <w:kern w:val="0"/>
          <w:sz w:val="20"/>
          <w:szCs w:val="20"/>
          <w:highlight w:val="none"/>
          <w:vertAlign w:val="subscript"/>
          <w:lang w:val="en-US" w:eastAsia="zh-CN"/>
        </w:rPr>
        <w:t xml:space="preserve"> </w:t>
      </w:r>
      <w:r>
        <w:rPr>
          <w:rFonts w:hint="eastAsia" w:cs="Times New Roman"/>
          <w:b w:val="0"/>
          <w:bCs w:val="0"/>
          <w:kern w:val="0"/>
          <w:sz w:val="20"/>
          <w:szCs w:val="20"/>
          <w:highlight w:val="none"/>
          <w:lang w:val="en-US" w:eastAsia="zh-CN"/>
        </w:rPr>
        <w:t>requirements defined for TDD intra-band non-contiguous CA.</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the </w:t>
      </w:r>
      <w:r>
        <w:rPr>
          <w:sz w:val="20"/>
          <w:szCs w:val="20"/>
        </w:rPr>
        <w:t>ΔR</w:t>
      </w:r>
      <w:r>
        <w:rPr>
          <w:sz w:val="20"/>
          <w:szCs w:val="20"/>
          <w:vertAlign w:val="subscript"/>
        </w:rPr>
        <w:t>IBNC</w:t>
      </w:r>
      <w:r>
        <w:rPr>
          <w:sz w:val="20"/>
          <w:szCs w:val="20"/>
        </w:rPr>
        <w:t xml:space="preserve"> </w:t>
      </w:r>
      <w:r>
        <w:rPr>
          <w:rFonts w:hint="eastAsia"/>
          <w:sz w:val="20"/>
          <w:szCs w:val="20"/>
          <w:lang w:val="en-US" w:eastAsia="zh-CN"/>
        </w:rPr>
        <w:t xml:space="preserve">requirements study purpose, it is impossible to do the re-evaluations for all the defined intra-band </w:t>
      </w:r>
      <w:r>
        <w:rPr>
          <w:sz w:val="20"/>
          <w:szCs w:val="20"/>
          <w:lang w:val="en-US"/>
        </w:rPr>
        <w:t>non-contiguous CA</w:t>
      </w:r>
      <w:r>
        <w:rPr>
          <w:rFonts w:hint="eastAsia"/>
          <w:sz w:val="20"/>
          <w:szCs w:val="20"/>
          <w:lang w:val="en-US" w:eastAsia="zh-CN"/>
        </w:rPr>
        <w:t xml:space="preserve"> scenario in the SID time phase. That</w:t>
      </w:r>
      <w:r>
        <w:rPr>
          <w:rFonts w:hint="default"/>
          <w:sz w:val="20"/>
          <w:szCs w:val="20"/>
          <w:lang w:val="en-US" w:eastAsia="zh-CN"/>
        </w:rPr>
        <w:t>’</w:t>
      </w:r>
      <w:r>
        <w:rPr>
          <w:rFonts w:hint="eastAsia"/>
          <w:sz w:val="20"/>
          <w:szCs w:val="20"/>
          <w:lang w:val="en-US" w:eastAsia="zh-CN"/>
        </w:rPr>
        <w:t>s the main reason that companies propose to select some example bands. We think the selected example bands should be in the above scope in the table 1, and both PC3 and PC2 should be considered. At this stage, it seems only consider one UL carrier is enough to reduce the workload. Meanwhile, it is reasonable to</w:t>
      </w:r>
      <w:r>
        <w:rPr>
          <w:rFonts w:hint="eastAsia" w:cs="Times New Roman"/>
          <w:b w:val="0"/>
          <w:bCs w:val="0"/>
          <w:kern w:val="0"/>
          <w:sz w:val="20"/>
          <w:szCs w:val="20"/>
          <w:highlight w:val="none"/>
          <w:lang w:val="en-US" w:eastAsia="zh-CN"/>
        </w:rPr>
        <w:t xml:space="preserve"> reuse the existing test points for the </w:t>
      </w:r>
      <w:r>
        <w:rPr>
          <w:sz w:val="20"/>
          <w:szCs w:val="20"/>
        </w:rPr>
        <w:t>ΔR</w:t>
      </w:r>
      <w:r>
        <w:rPr>
          <w:sz w:val="20"/>
          <w:szCs w:val="20"/>
          <w:vertAlign w:val="subscript"/>
        </w:rPr>
        <w:t>IBNC</w:t>
      </w:r>
      <w:r>
        <w:rPr>
          <w:sz w:val="20"/>
          <w:szCs w:val="20"/>
        </w:rPr>
        <w:t xml:space="preserve"> </w:t>
      </w:r>
      <w:r>
        <w:rPr>
          <w:rFonts w:hint="eastAsia"/>
          <w:sz w:val="20"/>
          <w:szCs w:val="20"/>
          <w:lang w:val="en-US" w:eastAsia="zh-CN"/>
        </w:rPr>
        <w:t>requirements re-evaluation to</w:t>
      </w:r>
      <w:r>
        <w:rPr>
          <w:rFonts w:hint="eastAsia" w:cs="Times New Roman"/>
          <w:b w:val="0"/>
          <w:bCs w:val="0"/>
          <w:kern w:val="0"/>
          <w:sz w:val="20"/>
          <w:szCs w:val="20"/>
          <w:highlight w:val="none"/>
          <w:lang w:val="en-US" w:eastAsia="zh-CN"/>
        </w:rPr>
        <w:t xml:space="preserve"> compare with the traditional way.</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sz w:val="20"/>
          <w:szCs w:val="20"/>
          <w:lang w:val="en-US" w:eastAsia="zh-CN"/>
        </w:rPr>
      </w:pPr>
      <w:r>
        <w:rPr>
          <w:rFonts w:hint="eastAsia"/>
          <w:sz w:val="20"/>
          <w:szCs w:val="20"/>
          <w:lang w:val="en-US" w:eastAsia="zh-CN"/>
        </w:rPr>
        <w:t>Considering the above, we propose: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color w:val="auto"/>
          <w:kern w:val="2"/>
          <w:sz w:val="20"/>
          <w:szCs w:val="20"/>
          <w:highlight w:val="none"/>
          <w:lang w:val="en-US" w:eastAsia="zh-CN" w:bidi="ar-SA"/>
        </w:rPr>
      </w:pPr>
      <w:r>
        <w:rPr>
          <w:rFonts w:hint="eastAsia"/>
          <w:b/>
          <w:bCs/>
          <w:i/>
          <w:iCs/>
          <w:sz w:val="20"/>
          <w:szCs w:val="20"/>
          <w:lang w:val="en-US" w:eastAsia="zh-CN"/>
        </w:rPr>
        <w:t xml:space="preserve">Proposal 1: </w:t>
      </w:r>
      <w:r>
        <w:rPr>
          <w:rFonts w:ascii="Times New Roman" w:hAnsi="Times New Roman" w:eastAsia="宋体" w:cs="Times New Roman"/>
          <w:b/>
          <w:bCs/>
          <w:i/>
          <w:iCs/>
          <w:color w:val="auto"/>
          <w:kern w:val="2"/>
          <w:sz w:val="20"/>
          <w:szCs w:val="20"/>
          <w:highlight w:val="none"/>
          <w:lang w:val="en-US" w:eastAsia="zh-CN" w:bidi="ar-SA"/>
        </w:rPr>
        <w:t>The scope should be those bands, where the fragments are fully confined within 100MHz, which includes all FDD/SDL bands and TDD bands</w:t>
      </w:r>
      <w:r>
        <w:rPr>
          <w:rFonts w:hint="eastAsia" w:cs="Times New Roman"/>
          <w:b/>
          <w:bCs/>
          <w:i/>
          <w:iCs/>
          <w:color w:val="auto"/>
          <w:kern w:val="2"/>
          <w:sz w:val="20"/>
          <w:szCs w:val="20"/>
          <w:highlight w:val="none"/>
          <w:lang w:val="en-US" w:eastAsia="zh-CN" w:bidi="ar-SA"/>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iCs/>
          <w:sz w:val="20"/>
          <w:szCs w:val="20"/>
          <w:lang w:val="en-US" w:eastAsia="zh-CN"/>
        </w:rPr>
      </w:pPr>
      <w:r>
        <w:rPr>
          <w:rFonts w:hint="eastAsia" w:cs="Times New Roman"/>
          <w:b/>
          <w:bCs/>
          <w:i/>
          <w:iCs/>
          <w:color w:val="auto"/>
          <w:kern w:val="2"/>
          <w:sz w:val="20"/>
          <w:szCs w:val="20"/>
          <w:highlight w:val="none"/>
          <w:lang w:val="en-US" w:eastAsia="zh-CN" w:bidi="ar-SA"/>
        </w:rPr>
        <w:t xml:space="preserve">Proposal 2: For </w:t>
      </w:r>
      <w:r>
        <w:rPr>
          <w:b/>
          <w:bCs/>
          <w:i/>
          <w:iCs/>
          <w:sz w:val="20"/>
          <w:szCs w:val="20"/>
        </w:rPr>
        <w:t>ΔR</w:t>
      </w:r>
      <w:r>
        <w:rPr>
          <w:b/>
          <w:bCs/>
          <w:i/>
          <w:iCs/>
          <w:sz w:val="20"/>
          <w:szCs w:val="20"/>
          <w:vertAlign w:val="subscript"/>
        </w:rPr>
        <w:t>IBNC</w:t>
      </w:r>
      <w:r>
        <w:rPr>
          <w:b/>
          <w:bCs/>
          <w:i/>
          <w:iCs/>
          <w:sz w:val="20"/>
          <w:szCs w:val="20"/>
        </w:rPr>
        <w:t xml:space="preserve"> </w:t>
      </w:r>
      <w:r>
        <w:rPr>
          <w:rFonts w:hint="eastAsia"/>
          <w:b/>
          <w:bCs/>
          <w:i/>
          <w:iCs/>
          <w:sz w:val="20"/>
          <w:szCs w:val="20"/>
          <w:lang w:val="en-US" w:eastAsia="zh-CN"/>
        </w:rPr>
        <w:t>requirements re-evaluation:</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default"/>
          <w:b/>
          <w:bCs/>
          <w:i/>
          <w:iCs/>
          <w:sz w:val="20"/>
          <w:szCs w:val="20"/>
          <w:lang w:val="en-US" w:eastAsia="zh-CN"/>
        </w:rPr>
      </w:pPr>
      <w:r>
        <w:rPr>
          <w:rFonts w:hint="eastAsia"/>
          <w:b/>
          <w:bCs/>
          <w:i/>
          <w:iCs/>
          <w:sz w:val="20"/>
          <w:szCs w:val="20"/>
          <w:lang w:val="en-US" w:eastAsia="zh-CN"/>
        </w:rPr>
        <w:t>- The example bands should be in the scope of existing intra-band non-contiguous CA operating bands</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eastAsia"/>
          <w:b/>
          <w:bCs/>
          <w:i/>
          <w:iCs/>
          <w:sz w:val="20"/>
          <w:szCs w:val="20"/>
          <w:lang w:val="en-US" w:eastAsia="zh-CN"/>
        </w:rPr>
      </w:pPr>
      <w:r>
        <w:rPr>
          <w:rFonts w:hint="eastAsia"/>
          <w:b/>
          <w:bCs/>
          <w:i/>
          <w:iCs/>
          <w:sz w:val="20"/>
          <w:szCs w:val="20"/>
          <w:lang w:val="en-US" w:eastAsia="zh-CN"/>
        </w:rPr>
        <w:t>- The existing test points are reused;</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ascii="Times New Roman" w:hAnsi="Times New Roman" w:eastAsia="宋体"/>
          <w:b/>
          <w:bCs/>
          <w:i/>
          <w:iCs/>
          <w:lang w:val="en-US"/>
        </w:rPr>
      </w:pPr>
      <w:r>
        <w:rPr>
          <w:rFonts w:hint="eastAsia"/>
          <w:b/>
          <w:bCs/>
          <w:i/>
          <w:iCs/>
          <w:szCs w:val="18"/>
          <w:lang w:val="en-US" w:eastAsia="zh-CN"/>
        </w:rPr>
        <w:t xml:space="preserve">- Priority to </w:t>
      </w:r>
      <w:r>
        <w:rPr>
          <w:rFonts w:ascii="Times New Roman" w:hAnsi="Times New Roman" w:eastAsia="宋体"/>
          <w:b/>
          <w:bCs/>
          <w:i/>
          <w:iCs/>
          <w:lang w:val="en-US"/>
        </w:rPr>
        <w:t>one uplink carrier</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default" w:ascii="Times New Roman" w:hAnsi="Times New Roman" w:eastAsia="宋体"/>
          <w:b/>
          <w:bCs/>
          <w:i/>
          <w:iCs/>
          <w:lang w:val="en-US" w:eastAsia="zh-CN"/>
        </w:rPr>
      </w:pPr>
      <w:r>
        <w:rPr>
          <w:rFonts w:hint="eastAsia"/>
          <w:b/>
          <w:bCs/>
          <w:i/>
          <w:iCs/>
          <w:lang w:val="en-US" w:eastAsia="zh-CN"/>
        </w:rPr>
        <w:t>- both PC3 and PC2 should be considered</w:t>
      </w:r>
    </w:p>
    <w:p>
      <w:pPr>
        <w:pStyle w:val="3"/>
        <w:keepNext/>
        <w:keepLines/>
        <w:pageBreakBefore w:val="0"/>
        <w:widowControl/>
        <w:numPr>
          <w:ilvl w:val="1"/>
          <w:numId w:val="0"/>
        </w:numPr>
        <w:kinsoku/>
        <w:wordWrap/>
        <w:overflowPunct/>
        <w:topLinePunct w:val="0"/>
        <w:autoSpaceDE/>
        <w:autoSpaceDN/>
        <w:bidi w:val="0"/>
        <w:adjustRightInd/>
        <w:snapToGrid/>
        <w:spacing w:after="60" w:line="240" w:lineRule="atLeast"/>
        <w:ind w:leftChars="0" w:right="210" w:rightChars="100"/>
        <w:textAlignment w:val="auto"/>
        <w:outlineLvl w:val="1"/>
        <w:rPr>
          <w:rFonts w:ascii="Times New Roman" w:hAnsi="Times New Roman"/>
          <w:b/>
          <w:color w:val="auto"/>
          <w:sz w:val="20"/>
          <w:highlight w:val="none"/>
          <w:u w:val="single"/>
          <w:lang w:eastAsia="ko-KR"/>
        </w:rPr>
      </w:pPr>
      <w:r>
        <w:rPr>
          <w:rFonts w:hint="eastAsia"/>
          <w:b/>
          <w:color w:val="auto"/>
          <w:sz w:val="20"/>
          <w:highlight w:val="none"/>
          <w:u w:val="single"/>
          <w:lang w:val="en-US" w:eastAsia="zh-CN"/>
        </w:rPr>
        <w:t>2.2 PSD</w:t>
      </w:r>
      <w:r>
        <w:rPr>
          <w:rFonts w:ascii="Times New Roman" w:hAnsi="Times New Roman"/>
          <w:b/>
          <w:color w:val="auto"/>
          <w:sz w:val="20"/>
          <w:highlight w:val="none"/>
          <w:u w:val="single"/>
          <w:lang w:eastAsia="ko-KR"/>
        </w:rPr>
        <w:t xml:space="preserve"> difference between carriers of co-located adjacent channel operators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discussion can be simply illustrated in the Fig 1.</w:t>
      </w:r>
    </w:p>
    <w:p>
      <w:pPr>
        <w:keepNext/>
        <w:keepLines/>
        <w:pageBreakBefore w:val="0"/>
        <w:widowControl w:val="0"/>
        <w:suppressLineNumbers w:val="0"/>
        <w:kinsoku/>
        <w:wordWrap/>
        <w:overflowPunct/>
        <w:topLinePunct w:val="0"/>
        <w:autoSpaceDE/>
        <w:autoSpaceDN/>
        <w:bidi w:val="0"/>
        <w:adjustRightInd/>
        <w:snapToGrid/>
        <w:jc w:val="center"/>
        <w:textAlignment w:val="auto"/>
        <w:rPr>
          <w:rFonts w:hint="eastAsia" w:cs="Times New Roman"/>
          <w:b w:val="0"/>
          <w:bCs w:val="0"/>
          <w:kern w:val="0"/>
          <w:sz w:val="20"/>
          <w:szCs w:val="20"/>
          <w:highlight w:val="none"/>
          <w:lang w:val="en-US" w:eastAsia="zh-CN"/>
        </w:rPr>
      </w:pPr>
      <w:r>
        <w:drawing>
          <wp:inline distT="0" distB="0" distL="114300" distR="114300">
            <wp:extent cx="2857500" cy="118110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857500" cy="1181100"/>
                    </a:xfrm>
                    <a:prstGeom prst="rect">
                      <a:avLst/>
                    </a:prstGeom>
                    <a:noFill/>
                    <a:ln>
                      <a:noFill/>
                    </a:ln>
                  </pic:spPr>
                </pic:pic>
              </a:graphicData>
            </a:graphic>
          </wp:inline>
        </w:drawing>
      </w:r>
    </w:p>
    <w:p>
      <w:pPr>
        <w:keepNext/>
        <w:keepLines/>
        <w:pageBreakBefore w:val="0"/>
        <w:widowControl w:val="0"/>
        <w:suppressLineNumbers w:val="0"/>
        <w:kinsoku/>
        <w:wordWrap/>
        <w:overflowPunct/>
        <w:topLinePunct w:val="0"/>
        <w:autoSpaceDE/>
        <w:autoSpaceDN/>
        <w:bidi w:val="0"/>
        <w:adjustRightInd/>
        <w:snapToGrid/>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Fig 1. Simply illustration for the PSD different between carriers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Fig 1., there are three PSD differences, where X and Y are the received PSD</w:t>
      </w:r>
      <w:r>
        <w:rPr>
          <w:rFonts w:hint="eastAsia" w:cs="Times New Roman"/>
          <w:b w:val="0"/>
          <w:bCs w:val="0"/>
          <w:kern w:val="0"/>
          <w:sz w:val="20"/>
          <w:szCs w:val="20"/>
          <w:highlight w:val="none"/>
          <w:lang w:val="en-US" w:eastAsia="ko-KR"/>
        </w:rPr>
        <w:t xml:space="preserve"> difference between carriers of co-located adjacent channel operators</w:t>
      </w:r>
      <w:r>
        <w:rPr>
          <w:rFonts w:hint="eastAsia" w:cs="Times New Roman"/>
          <w:b w:val="0"/>
          <w:bCs w:val="0"/>
          <w:kern w:val="0"/>
          <w:sz w:val="20"/>
          <w:szCs w:val="20"/>
          <w:highlight w:val="none"/>
          <w:lang w:val="en-US" w:eastAsia="zh-CN"/>
        </w:rPr>
        <w:t xml:space="preserve"> in </w:t>
      </w:r>
      <w:r>
        <w:rPr>
          <w:rFonts w:ascii="Times New Roman" w:hAnsi="Times New Roman" w:eastAsia="宋体" w:cs="Times New Roman"/>
          <w:color w:val="auto"/>
          <w:sz w:val="20"/>
          <w:szCs w:val="20"/>
          <w:highlight w:val="none"/>
          <w:lang w:eastAsia="zh-CN"/>
        </w:rPr>
        <w:t>inter-operator deployment scenario</w:t>
      </w:r>
      <w:r>
        <w:rPr>
          <w:rFonts w:hint="eastAsia" w:cs="Times New Roman"/>
          <w:b w:val="0"/>
          <w:bCs w:val="0"/>
          <w:kern w:val="0"/>
          <w:sz w:val="20"/>
          <w:szCs w:val="20"/>
          <w:highlight w:val="none"/>
          <w:lang w:val="en-US" w:eastAsia="zh-CN"/>
        </w:rPr>
        <w:t>, while Z is the received PSD</w:t>
      </w:r>
      <w:r>
        <w:rPr>
          <w:rFonts w:hint="eastAsia" w:cs="Times New Roman"/>
          <w:b w:val="0"/>
          <w:bCs w:val="0"/>
          <w:kern w:val="0"/>
          <w:sz w:val="20"/>
          <w:szCs w:val="20"/>
          <w:highlight w:val="none"/>
          <w:lang w:val="en-US" w:eastAsia="ko-KR"/>
        </w:rPr>
        <w:t xml:space="preserve"> difference between </w:t>
      </w:r>
      <w:r>
        <w:rPr>
          <w:sz w:val="20"/>
          <w:szCs w:val="20"/>
        </w:rPr>
        <w:t>the two non-contiguous CCs</w:t>
      </w:r>
      <w:r>
        <w:rPr>
          <w:rFonts w:hint="eastAsia"/>
          <w:sz w:val="20"/>
          <w:szCs w:val="20"/>
          <w:lang w:val="en-US" w:eastAsia="zh-CN"/>
        </w:rPr>
        <w:t xml:space="preserve"> </w:t>
      </w:r>
      <w:r>
        <w:rPr>
          <w:rFonts w:hint="eastAsia" w:cs="Times New Roman"/>
          <w:b w:val="0"/>
          <w:bCs w:val="0"/>
          <w:kern w:val="0"/>
          <w:sz w:val="20"/>
          <w:szCs w:val="20"/>
          <w:highlight w:val="none"/>
          <w:lang w:val="en-US" w:eastAsia="ko-KR"/>
        </w:rPr>
        <w:t xml:space="preserve">of </w:t>
      </w:r>
      <w:r>
        <w:rPr>
          <w:rFonts w:hint="eastAsia" w:cs="Times New Roman"/>
          <w:b w:val="0"/>
          <w:bCs w:val="0"/>
          <w:kern w:val="0"/>
          <w:sz w:val="20"/>
          <w:szCs w:val="20"/>
          <w:highlight w:val="none"/>
          <w:lang w:val="en-US" w:eastAsia="zh-CN"/>
        </w:rPr>
        <w:t>the same</w:t>
      </w:r>
      <w:r>
        <w:rPr>
          <w:rFonts w:hint="eastAsia" w:cs="Times New Roman"/>
          <w:b w:val="0"/>
          <w:bCs w:val="0"/>
          <w:kern w:val="0"/>
          <w:sz w:val="20"/>
          <w:szCs w:val="20"/>
          <w:highlight w:val="none"/>
          <w:lang w:val="en-US" w:eastAsia="ko-KR"/>
        </w:rPr>
        <w:t xml:space="preserve"> operators</w:t>
      </w:r>
      <w:r>
        <w:rPr>
          <w:rFonts w:hint="eastAsia" w:cs="Times New Roman"/>
          <w:b w:val="0"/>
          <w:bCs w:val="0"/>
          <w:kern w:val="0"/>
          <w:sz w:val="20"/>
          <w:szCs w:val="20"/>
          <w:highlight w:val="none"/>
          <w:lang w:val="en-US" w:eastAsia="zh-CN"/>
        </w:rPr>
        <w:t>, which is up to 6dB according to the objectives.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discussion point is the X and Y value, or only Y value since Y is the larger PSD</w:t>
      </w:r>
      <w:r>
        <w:rPr>
          <w:rFonts w:hint="eastAsia" w:cs="Times New Roman"/>
          <w:b w:val="0"/>
          <w:bCs w:val="0"/>
          <w:kern w:val="0"/>
          <w:sz w:val="20"/>
          <w:szCs w:val="20"/>
          <w:highlight w:val="none"/>
          <w:lang w:val="en-US" w:eastAsia="ko-KR"/>
        </w:rPr>
        <w:t xml:space="preserve"> difference between carriers of co-located adjacent channel operators</w:t>
      </w:r>
      <w:r>
        <w:rPr>
          <w:rFonts w:hint="eastAsia" w:cs="Times New Roman"/>
          <w:b w:val="0"/>
          <w:bCs w:val="0"/>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sz w:val="20"/>
          <w:szCs w:val="20"/>
          <w:lang w:val="en-US" w:eastAsia="zh-CN"/>
        </w:rPr>
      </w:pPr>
      <w:r>
        <w:rPr>
          <w:rFonts w:hint="eastAsia"/>
          <w:sz w:val="20"/>
          <w:szCs w:val="20"/>
          <w:lang w:val="en-US" w:eastAsia="zh-CN"/>
        </w:rPr>
        <w:t xml:space="preserve">Note that the terminology of </w:t>
      </w:r>
      <w:r>
        <w:rPr>
          <w:rFonts w:hint="default"/>
          <w:sz w:val="20"/>
          <w:szCs w:val="20"/>
          <w:lang w:val="en-US" w:eastAsia="zh-CN"/>
        </w:rPr>
        <w:t>‘</w:t>
      </w:r>
      <w:r>
        <w:rPr>
          <w:rFonts w:hint="eastAsia"/>
          <w:sz w:val="20"/>
          <w:szCs w:val="20"/>
          <w:lang w:val="en-US" w:eastAsia="zh-CN"/>
        </w:rPr>
        <w:t>PSD imbalance</w:t>
      </w:r>
      <w:r>
        <w:rPr>
          <w:rFonts w:hint="default"/>
          <w:sz w:val="20"/>
          <w:szCs w:val="20"/>
          <w:lang w:val="en-US" w:eastAsia="zh-CN"/>
        </w:rPr>
        <w:t>’</w:t>
      </w:r>
      <w:r>
        <w:rPr>
          <w:rFonts w:hint="eastAsia"/>
          <w:sz w:val="20"/>
          <w:szCs w:val="20"/>
          <w:lang w:val="en-US" w:eastAsia="zh-CN"/>
        </w:rPr>
        <w:t xml:space="preserve"> is used in the objectives, rather than power difference. The power difference between the interference carrier and wanted carrier are related to the channel bandwidths, which equals to PSD difference + 10l</w:t>
      </w:r>
      <w:r>
        <w:rPr>
          <w:rFonts w:hint="default"/>
          <w:sz w:val="20"/>
          <w:szCs w:val="20"/>
          <w:lang w:val="en-US" w:eastAsia="zh-CN"/>
        </w:rPr>
        <w:t>og(BW</w:t>
      </w:r>
      <w:r>
        <w:rPr>
          <w:rFonts w:hint="eastAsia"/>
          <w:sz w:val="20"/>
          <w:szCs w:val="20"/>
          <w:vertAlign w:val="subscript"/>
          <w:lang w:val="en-US" w:eastAsia="zh-CN"/>
        </w:rPr>
        <w:t>interference</w:t>
      </w:r>
      <w:r>
        <w:rPr>
          <w:rFonts w:hint="default"/>
          <w:sz w:val="20"/>
          <w:szCs w:val="20"/>
          <w:lang w:val="en-US" w:eastAsia="zh-CN"/>
        </w:rPr>
        <w:t>/BW</w:t>
      </w:r>
      <w:r>
        <w:rPr>
          <w:rFonts w:hint="eastAsia"/>
          <w:sz w:val="20"/>
          <w:szCs w:val="20"/>
          <w:vertAlign w:val="subscript"/>
          <w:lang w:val="en-US" w:eastAsia="zh-CN"/>
        </w:rPr>
        <w:t>wanted</w:t>
      </w:r>
      <w:r>
        <w:rPr>
          <w:rFonts w:hint="default"/>
          <w:sz w:val="20"/>
          <w:szCs w:val="20"/>
          <w:lang w:val="en-US" w:eastAsia="zh-CN"/>
        </w:rPr>
        <w:t>)</w:t>
      </w:r>
      <w:r>
        <w:rPr>
          <w:rFonts w:hint="eastAsia"/>
          <w:sz w:val="20"/>
          <w:szCs w:val="20"/>
          <w:lang w:val="en-US" w:eastAsia="zh-CN"/>
        </w:rPr>
        <w:t>.</w:t>
      </w:r>
      <w:r>
        <w:rPr>
          <w:rFonts w:hint="default"/>
          <w:sz w:val="20"/>
          <w:szCs w:val="20"/>
          <w:lang w:val="en-US" w:eastAsia="zh-CN"/>
        </w:rPr>
        <w:t xml:space="preserve"> </w:t>
      </w:r>
      <w:r>
        <w:rPr>
          <w:rFonts w:hint="eastAsia"/>
          <w:sz w:val="20"/>
          <w:szCs w:val="20"/>
          <w:lang w:val="en-US" w:eastAsia="zh-CN"/>
        </w:rPr>
        <w:t>W</w:t>
      </w:r>
      <w:r>
        <w:rPr>
          <w:rFonts w:hint="default"/>
          <w:sz w:val="20"/>
          <w:szCs w:val="20"/>
          <w:lang w:val="en-US" w:eastAsia="zh-CN"/>
        </w:rPr>
        <w:t>hen BW</w:t>
      </w:r>
      <w:r>
        <w:rPr>
          <w:rFonts w:hint="eastAsia"/>
          <w:sz w:val="20"/>
          <w:szCs w:val="20"/>
          <w:vertAlign w:val="subscript"/>
          <w:lang w:val="en-US" w:eastAsia="zh-CN"/>
        </w:rPr>
        <w:t>interference</w:t>
      </w:r>
      <w:r>
        <w:rPr>
          <w:rFonts w:hint="default"/>
          <w:sz w:val="20"/>
          <w:szCs w:val="20"/>
          <w:lang w:val="en-US" w:eastAsia="zh-CN"/>
        </w:rPr>
        <w:t>=BW</w:t>
      </w:r>
      <w:r>
        <w:rPr>
          <w:rFonts w:hint="eastAsia"/>
          <w:sz w:val="20"/>
          <w:szCs w:val="20"/>
          <w:vertAlign w:val="subscript"/>
          <w:lang w:val="en-US" w:eastAsia="zh-CN"/>
        </w:rPr>
        <w:t>wanted</w:t>
      </w:r>
      <w:r>
        <w:rPr>
          <w:rFonts w:hint="default"/>
          <w:sz w:val="20"/>
          <w:szCs w:val="20"/>
          <w:lang w:val="en-US" w:eastAsia="zh-CN"/>
        </w:rPr>
        <w:t>, the</w:t>
      </w:r>
      <w:r>
        <w:rPr>
          <w:rFonts w:hint="eastAsia"/>
          <w:sz w:val="20"/>
          <w:szCs w:val="20"/>
          <w:lang w:val="en-US" w:eastAsia="zh-CN"/>
        </w:rPr>
        <w:t>n</w:t>
      </w:r>
      <w:r>
        <w:rPr>
          <w:rFonts w:hint="default"/>
          <w:sz w:val="20"/>
          <w:szCs w:val="20"/>
          <w:lang w:val="en-US" w:eastAsia="zh-CN"/>
        </w:rPr>
        <w:t xml:space="preserve"> PSD </w:t>
      </w:r>
      <w:r>
        <w:rPr>
          <w:rFonts w:hint="eastAsia"/>
          <w:sz w:val="20"/>
          <w:szCs w:val="20"/>
          <w:lang w:val="en-US" w:eastAsia="zh-CN"/>
        </w:rPr>
        <w:t>difference value</w:t>
      </w:r>
      <w:r>
        <w:rPr>
          <w:rFonts w:hint="default"/>
          <w:sz w:val="20"/>
          <w:szCs w:val="20"/>
          <w:lang w:val="en-US" w:eastAsia="zh-CN"/>
        </w:rPr>
        <w:t xml:space="preserve"> equal to power imbalance</w:t>
      </w:r>
      <w:r>
        <w:rPr>
          <w:rFonts w:hint="eastAsia"/>
          <w:sz w:val="20"/>
          <w:szCs w:val="20"/>
          <w:lang w:val="en-US" w:eastAsia="zh-CN"/>
        </w:rPr>
        <w:t xml:space="preserve"> value</w:t>
      </w:r>
      <w:r>
        <w:rPr>
          <w:rFonts w:hint="default"/>
          <w:sz w:val="20"/>
          <w:szCs w:val="20"/>
          <w:lang w:val="en-US" w:eastAsia="zh-CN"/>
        </w:rPr>
        <w:t xml:space="preserve">. </w:t>
      </w:r>
      <w:r>
        <w:rPr>
          <w:rFonts w:hint="eastAsia"/>
          <w:sz w:val="20"/>
          <w:szCs w:val="20"/>
          <w:lang w:val="en-US" w:eastAsia="zh-CN"/>
        </w:rPr>
        <w:t xml:space="preserve">But when the </w:t>
      </w:r>
      <w:r>
        <w:rPr>
          <w:rFonts w:hint="default"/>
          <w:sz w:val="20"/>
          <w:szCs w:val="20"/>
          <w:lang w:val="en-US" w:eastAsia="zh-CN"/>
        </w:rPr>
        <w:t>BW</w:t>
      </w:r>
      <w:r>
        <w:rPr>
          <w:rFonts w:hint="eastAsia"/>
          <w:sz w:val="20"/>
          <w:szCs w:val="20"/>
          <w:vertAlign w:val="subscript"/>
          <w:lang w:val="en-US" w:eastAsia="zh-CN"/>
        </w:rPr>
        <w:t xml:space="preserve">interference </w:t>
      </w:r>
      <w:r>
        <w:rPr>
          <w:rFonts w:hint="eastAsia"/>
          <w:sz w:val="20"/>
          <w:szCs w:val="20"/>
          <w:vertAlign w:val="baseline"/>
          <w:lang w:val="en-US" w:eastAsia="zh-CN"/>
        </w:rPr>
        <w:t xml:space="preserve">&lt; </w:t>
      </w:r>
      <w:r>
        <w:rPr>
          <w:rFonts w:hint="default"/>
          <w:sz w:val="20"/>
          <w:szCs w:val="20"/>
          <w:lang w:val="en-US" w:eastAsia="zh-CN"/>
        </w:rPr>
        <w:t>BW</w:t>
      </w:r>
      <w:r>
        <w:rPr>
          <w:rFonts w:hint="eastAsia"/>
          <w:sz w:val="20"/>
          <w:szCs w:val="20"/>
          <w:vertAlign w:val="subscript"/>
          <w:lang w:val="en-US" w:eastAsia="zh-CN"/>
        </w:rPr>
        <w:t>wanted</w:t>
      </w:r>
      <w:r>
        <w:rPr>
          <w:rFonts w:hint="eastAsia"/>
          <w:sz w:val="20"/>
          <w:szCs w:val="20"/>
          <w:vertAlign w:val="baseline"/>
          <w:lang w:val="en-US" w:eastAsia="zh-CN"/>
        </w:rPr>
        <w:t xml:space="preserve">, then the power between the </w:t>
      </w:r>
      <w:r>
        <w:rPr>
          <w:rFonts w:hint="eastAsia"/>
          <w:sz w:val="20"/>
          <w:szCs w:val="20"/>
          <w:lang w:val="en-US" w:eastAsia="zh-CN"/>
        </w:rPr>
        <w:t xml:space="preserve">interference carrier and wanted carrier would become smaller if keep the power difference unchanged or </w:t>
      </w:r>
      <w:r>
        <w:rPr>
          <w:rFonts w:hint="eastAsia"/>
          <w:sz w:val="20"/>
          <w:szCs w:val="20"/>
          <w:vertAlign w:val="baseline"/>
          <w:lang w:val="en-US" w:eastAsia="zh-CN"/>
        </w:rPr>
        <w:t xml:space="preserve">the PSD between the </w:t>
      </w:r>
      <w:r>
        <w:rPr>
          <w:rFonts w:hint="eastAsia"/>
          <w:sz w:val="20"/>
          <w:szCs w:val="20"/>
          <w:lang w:val="en-US" w:eastAsia="zh-CN"/>
        </w:rPr>
        <w:t>interference carrier and wanted carrier would become larger if keep the power imbalance unchanged.</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i/>
          <w:iCs/>
          <w:sz w:val="20"/>
          <w:szCs w:val="20"/>
          <w:lang w:val="en-US" w:eastAsia="zh-CN"/>
        </w:rPr>
      </w:pPr>
      <w:r>
        <w:rPr>
          <w:rFonts w:hint="eastAsia"/>
          <w:b/>
          <w:bCs/>
          <w:i/>
          <w:iCs/>
          <w:sz w:val="20"/>
          <w:szCs w:val="20"/>
          <w:lang w:val="en-US" w:eastAsia="zh-CN"/>
        </w:rPr>
        <w:t xml:space="preserve">Observation 1. The power difference, PSD difference and the carrier channel bandwidths </w:t>
      </w:r>
      <w:r>
        <w:rPr>
          <w:rFonts w:hint="eastAsia" w:cs="Times New Roman"/>
          <w:b/>
          <w:bCs/>
          <w:i/>
          <w:iCs/>
          <w:kern w:val="2"/>
          <w:sz w:val="20"/>
          <w:szCs w:val="20"/>
          <w:lang w:val="en-US" w:eastAsia="zh-CN"/>
        </w:rPr>
        <w:t>are dependent each other.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bidi="ar-SA"/>
        </w:rPr>
      </w:pPr>
      <w:r>
        <w:rPr>
          <w:rFonts w:hint="eastAsia" w:cs="Times New Roman"/>
          <w:b w:val="0"/>
          <w:bCs w:val="0"/>
          <w:kern w:val="0"/>
          <w:sz w:val="20"/>
          <w:szCs w:val="20"/>
          <w:highlight w:val="none"/>
          <w:lang w:val="en-US" w:eastAsia="zh-CN"/>
        </w:rPr>
        <w:t xml:space="preserve">Regarding the value for the receive PSD different or power different between fragments, we think it might be difficult to decide how much the </w:t>
      </w:r>
      <w:r>
        <w:rPr>
          <w:rFonts w:hint="eastAsia" w:ascii="Times New Roman" w:hAnsi="Times New Roman" w:eastAsia="宋体" w:cs="Times New Roman"/>
          <w:b w:val="0"/>
          <w:bCs w:val="0"/>
          <w:kern w:val="0"/>
          <w:sz w:val="20"/>
          <w:szCs w:val="20"/>
          <w:highlight w:val="none"/>
          <w:lang w:val="en-US" w:eastAsia="zh-CN" w:bidi="ar-SA"/>
        </w:rPr>
        <w:t>PSD</w:t>
      </w:r>
      <w:r>
        <w:rPr>
          <w:rFonts w:hint="eastAsia" w:ascii="Times New Roman" w:hAnsi="Times New Roman" w:eastAsia="宋体" w:cs="Times New Roman"/>
          <w:b w:val="0"/>
          <w:bCs w:val="0"/>
          <w:kern w:val="0"/>
          <w:sz w:val="20"/>
          <w:szCs w:val="20"/>
          <w:highlight w:val="none"/>
          <w:lang w:val="en-US" w:eastAsia="ko-KR" w:bidi="ar-SA"/>
        </w:rPr>
        <w:t xml:space="preserve"> difference</w:t>
      </w:r>
      <w:r>
        <w:rPr>
          <w:rFonts w:hint="eastAsia" w:cs="Times New Roman"/>
          <w:b w:val="0"/>
          <w:bCs w:val="0"/>
          <w:kern w:val="0"/>
          <w:sz w:val="20"/>
          <w:szCs w:val="20"/>
          <w:highlight w:val="none"/>
          <w:lang w:val="en-US" w:eastAsia="zh-CN" w:bidi="ar-SA"/>
        </w:rPr>
        <w:t xml:space="preserve"> or power difference</w:t>
      </w:r>
      <w:r>
        <w:rPr>
          <w:rFonts w:hint="eastAsia" w:ascii="Times New Roman" w:hAnsi="Times New Roman" w:eastAsia="宋体" w:cs="Times New Roman"/>
          <w:b w:val="0"/>
          <w:bCs w:val="0"/>
          <w:kern w:val="0"/>
          <w:sz w:val="20"/>
          <w:szCs w:val="20"/>
          <w:highlight w:val="none"/>
          <w:lang w:val="en-US" w:eastAsia="ko-KR" w:bidi="ar-SA"/>
        </w:rPr>
        <w:t xml:space="preserve"> between carriers of co-located a</w:t>
      </w:r>
      <w:r>
        <w:rPr>
          <w:rFonts w:hint="eastAsia" w:cs="Times New Roman"/>
          <w:b w:val="0"/>
          <w:bCs w:val="0"/>
          <w:kern w:val="0"/>
          <w:sz w:val="20"/>
          <w:szCs w:val="20"/>
          <w:highlight w:val="none"/>
          <w:lang w:val="en-US" w:eastAsia="ko-KR" w:bidi="ar-SA"/>
        </w:rPr>
        <w:t>djacent channel operators</w:t>
      </w:r>
      <w:r>
        <w:rPr>
          <w:rFonts w:hint="eastAsia" w:cs="Times New Roman"/>
          <w:b w:val="0"/>
          <w:bCs w:val="0"/>
          <w:kern w:val="0"/>
          <w:sz w:val="20"/>
          <w:szCs w:val="20"/>
          <w:highlight w:val="none"/>
          <w:lang w:val="en-US" w:eastAsia="zh-CN" w:bidi="ar-SA"/>
        </w:rPr>
        <w:t xml:space="preserve"> even the for the same BS classes for the inter-operators since it would be highly implementation dependence, such as s</w:t>
      </w:r>
      <w:r>
        <w:rPr>
          <w:rFonts w:hint="eastAsia" w:cs="Times New Roman"/>
          <w:b w:val="0"/>
          <w:bCs w:val="0"/>
          <w:kern w:val="0"/>
          <w:sz w:val="20"/>
          <w:szCs w:val="20"/>
          <w:highlight w:val="none"/>
          <w:lang w:val="en-US" w:eastAsia="ja-JP" w:bidi="ar-SA"/>
        </w:rPr>
        <w:t>ite space constraints</w:t>
      </w:r>
      <w:r>
        <w:rPr>
          <w:rFonts w:hint="eastAsia" w:cs="Times New Roman"/>
          <w:b w:val="0"/>
          <w:bCs w:val="0"/>
          <w:kern w:val="0"/>
          <w:sz w:val="20"/>
          <w:szCs w:val="20"/>
          <w:highlight w:val="none"/>
          <w:lang w:val="en-US" w:eastAsia="zh-CN" w:bidi="ar-SA"/>
        </w:rPr>
        <w:t xml:space="preserve">, antenna type/directions, supported channel bandwidths and etc.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bidi="ar-SA"/>
        </w:rPr>
        <w:t xml:space="preserve">For </w:t>
      </w:r>
      <w:r>
        <w:rPr>
          <w:rFonts w:hint="eastAsia" w:ascii="Times New Roman" w:hAnsi="Times New Roman" w:eastAsia="宋体" w:cs="Times New Roman"/>
          <w:b w:val="0"/>
          <w:bCs w:val="0"/>
          <w:kern w:val="0"/>
          <w:sz w:val="20"/>
          <w:szCs w:val="20"/>
          <w:highlight w:val="none"/>
          <w:lang w:val="en-US" w:eastAsia="ko-KR" w:bidi="ar-SA"/>
        </w:rPr>
        <w:t>co-located a</w:t>
      </w:r>
      <w:r>
        <w:rPr>
          <w:rFonts w:hint="eastAsia" w:cs="Times New Roman"/>
          <w:b w:val="0"/>
          <w:bCs w:val="0"/>
          <w:kern w:val="0"/>
          <w:sz w:val="20"/>
          <w:szCs w:val="20"/>
          <w:highlight w:val="none"/>
          <w:lang w:val="en-US" w:eastAsia="ko-KR" w:bidi="ar-SA"/>
        </w:rPr>
        <w:t>djacent channel operators</w:t>
      </w:r>
      <w:r>
        <w:rPr>
          <w:rFonts w:hint="eastAsia" w:cs="Times New Roman"/>
          <w:b w:val="0"/>
          <w:bCs w:val="0"/>
          <w:kern w:val="0"/>
          <w:sz w:val="20"/>
          <w:szCs w:val="20"/>
          <w:highlight w:val="none"/>
          <w:lang w:val="en-US" w:eastAsia="zh-CN" w:bidi="ar-SA"/>
        </w:rPr>
        <w:t xml:space="preserve">, </w:t>
      </w:r>
      <w:r>
        <w:rPr>
          <w:rFonts w:hint="eastAsia" w:cs="Times New Roman"/>
          <w:b w:val="0"/>
          <w:bCs w:val="0"/>
          <w:kern w:val="0"/>
          <w:sz w:val="20"/>
          <w:szCs w:val="20"/>
          <w:highlight w:val="none"/>
          <w:lang w:val="en-US" w:eastAsia="zh-CN"/>
        </w:rPr>
        <w:t xml:space="preserve">our understanding is that the co-located gNBs in inter-operator deployment scenario means sharing the same site/tower for the co-location BS from the different operators, where MCL is assumed as 30dB </w:t>
      </w:r>
      <w:r>
        <w:rPr>
          <w:rFonts w:hint="default" w:cs="Times New Roman"/>
          <w:b w:val="0"/>
          <w:bCs w:val="0"/>
          <w:kern w:val="0"/>
          <w:sz w:val="20"/>
          <w:szCs w:val="20"/>
          <w:highlight w:val="none"/>
          <w:lang w:val="en-US" w:eastAsia="zh-CN"/>
        </w:rPr>
        <w:t>between transmitter and receiver</w:t>
      </w:r>
      <w:r>
        <w:rPr>
          <w:rFonts w:hint="eastAsia" w:cs="Times New Roman"/>
          <w:b w:val="0"/>
          <w:bCs w:val="0"/>
          <w:kern w:val="0"/>
          <w:sz w:val="20"/>
          <w:szCs w:val="20"/>
          <w:highlight w:val="none"/>
          <w:lang w:val="en-US" w:eastAsia="zh-CN"/>
        </w:rPr>
        <w:t xml:space="preserve"> for the same BS class according to TS38.104. Moreover, the co-located gNBs could be operated in different bands.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iCs/>
          <w:sz w:val="20"/>
          <w:szCs w:val="20"/>
          <w:lang w:val="en-US" w:eastAsia="zh-CN"/>
        </w:rPr>
      </w:pPr>
      <w:r>
        <w:rPr>
          <w:rFonts w:hint="eastAsia"/>
          <w:b/>
          <w:bCs/>
          <w:i/>
          <w:iCs/>
          <w:sz w:val="20"/>
          <w:szCs w:val="20"/>
          <w:lang w:val="en-US" w:eastAsia="zh-CN"/>
        </w:rPr>
        <w:t>Observation 2. It might be difficult to decide how much the PSD</w:t>
      </w:r>
      <w:r>
        <w:rPr>
          <w:rFonts w:hint="eastAsia"/>
          <w:b/>
          <w:bCs/>
          <w:i/>
          <w:iCs/>
          <w:sz w:val="20"/>
          <w:szCs w:val="20"/>
          <w:lang w:val="en-US" w:eastAsia="ko-KR"/>
        </w:rPr>
        <w:t xml:space="preserve"> difference</w:t>
      </w:r>
      <w:r>
        <w:rPr>
          <w:rFonts w:hint="eastAsia"/>
          <w:b/>
          <w:bCs/>
          <w:i/>
          <w:iCs/>
          <w:sz w:val="20"/>
          <w:szCs w:val="20"/>
          <w:lang w:val="en-US" w:eastAsia="zh-CN"/>
        </w:rPr>
        <w:t xml:space="preserve"> </w:t>
      </w:r>
      <w:r>
        <w:rPr>
          <w:rFonts w:hint="eastAsia"/>
          <w:b/>
          <w:bCs/>
          <w:i/>
          <w:iCs/>
          <w:sz w:val="20"/>
          <w:szCs w:val="20"/>
          <w:lang w:val="en-US" w:eastAsia="ko-KR"/>
        </w:rPr>
        <w:t>between carriers of co-located adjacent channel operators</w:t>
      </w:r>
      <w:r>
        <w:rPr>
          <w:rFonts w:hint="eastAsia"/>
          <w:b/>
          <w:bCs/>
          <w:i/>
          <w:iCs/>
          <w:sz w:val="20"/>
          <w:szCs w:val="20"/>
          <w:lang w:val="en-US" w:eastAsia="zh-CN"/>
        </w:rPr>
        <w:t xml:space="preserve"> due to implementation consideration.</w:t>
      </w:r>
    </w:p>
    <w:p>
      <w:pPr>
        <w:keepNext/>
        <w:keepLines/>
        <w:pageBreakBefore w:val="0"/>
        <w:widowControl w:val="0"/>
        <w:suppressLineNumbers w:val="0"/>
        <w:kinsoku/>
        <w:wordWrap/>
        <w:overflowPunct/>
        <w:topLinePunct w:val="0"/>
        <w:autoSpaceDE/>
        <w:autoSpaceDN/>
        <w:bidi w:val="0"/>
        <w:adjustRightInd/>
        <w:snapToGrid/>
        <w:spacing w:line="260" w:lineRule="auto"/>
        <w:jc w:val="left"/>
        <w:textAlignment w:val="auto"/>
        <w:outlineLvl w:val="1"/>
        <w:rPr>
          <w:rFonts w:hint="eastAsia"/>
          <w:b/>
          <w:color w:val="auto"/>
          <w:sz w:val="20"/>
          <w:highlight w:val="none"/>
          <w:u w:val="single"/>
          <w:lang w:val="en-US" w:eastAsia="zh-CN"/>
        </w:rPr>
      </w:pPr>
      <w:r>
        <w:rPr>
          <w:rFonts w:hint="eastAsia"/>
          <w:b/>
          <w:color w:val="auto"/>
          <w:sz w:val="20"/>
          <w:highlight w:val="none"/>
          <w:u w:val="single"/>
          <w:lang w:val="en-US" w:eastAsia="zh-CN"/>
        </w:rPr>
        <w:t>2.3 RF requirements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the WF, it shows: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snapToGrid/>
              <w:spacing w:beforeLines="50" w:after="60" w:afterLines="50" w:line="240" w:lineRule="atLeast"/>
              <w:jc w:val="both"/>
              <w:textAlignment w:val="auto"/>
              <w:outlineLvl w:val="9"/>
              <w:rPr>
                <w:rFonts w:ascii="Times New Roman" w:hAnsi="Times New Roman" w:eastAsia="宋体" w:cs="Times New Roman"/>
                <w:b/>
                <w:color w:val="auto"/>
                <w:kern w:val="2"/>
                <w:sz w:val="20"/>
                <w:szCs w:val="20"/>
                <w:highlight w:val="none"/>
                <w:u w:val="single"/>
                <w:lang w:val="en-US" w:eastAsia="ko-KR" w:bidi="ar-SA"/>
              </w:rPr>
            </w:pPr>
            <w:r>
              <w:rPr>
                <w:rFonts w:ascii="Times New Roman" w:hAnsi="Times New Roman" w:eastAsia="宋体" w:cs="Times New Roman"/>
                <w:b/>
                <w:color w:val="auto"/>
                <w:kern w:val="2"/>
                <w:sz w:val="20"/>
                <w:szCs w:val="20"/>
                <w:highlight w:val="none"/>
                <w:u w:val="single"/>
                <w:lang w:val="en-US" w:eastAsia="ko-KR" w:bidi="ar-SA"/>
              </w:rPr>
              <w:t>Issue 3-1-2: Prerequisite conditions</w:t>
            </w:r>
          </w:p>
          <w:p>
            <w:pPr>
              <w:keepNext/>
              <w:keepLines/>
              <w:pageBreakBefore w:val="0"/>
              <w:kinsoku/>
              <w:wordWrap/>
              <w:overflowPunct/>
              <w:topLinePunct w:val="0"/>
              <w:autoSpaceDE/>
              <w:autoSpaceDN/>
              <w:bidi w:val="0"/>
              <w:adjustRightInd/>
              <w:snapToGrid/>
              <w:spacing w:after="180"/>
              <w:textAlignment w:val="auto"/>
              <w:outlineLvl w:val="9"/>
              <w:rPr>
                <w:rFonts w:eastAsia="宋体"/>
                <w:color w:val="auto"/>
                <w:sz w:val="20"/>
                <w:szCs w:val="20"/>
                <w:highlight w:val="none"/>
                <w:lang w:eastAsia="zh-TW"/>
              </w:rPr>
            </w:pPr>
            <w:r>
              <w:rPr>
                <w:rFonts w:eastAsia="宋体"/>
                <w:color w:val="auto"/>
                <w:sz w:val="20"/>
                <w:szCs w:val="20"/>
                <w:highlight w:val="none"/>
                <w:lang w:eastAsia="zh-TW"/>
              </w:rPr>
              <w:t>FFS on following proposals in next meeting:</w:t>
            </w:r>
          </w:p>
          <w:p>
            <w:pPr>
              <w:keepNext/>
              <w:keepLines/>
              <w:pageBreakBefore w:val="0"/>
              <w:numPr>
                <w:ilvl w:val="1"/>
                <w:numId w:val="7"/>
              </w:numPr>
              <w:kinsoku/>
              <w:wordWrap/>
              <w:overflowPunct/>
              <w:topLinePunct w:val="0"/>
              <w:autoSpaceDE/>
              <w:autoSpaceDN/>
              <w:bidi w:val="0"/>
              <w:adjustRightInd/>
              <w:snapToGrid/>
              <w:spacing w:beforeLines="50" w:after="120" w:afterLines="50" w:line="259" w:lineRule="auto"/>
              <w:ind w:left="641" w:hanging="357" w:firstLineChars="0"/>
              <w:jc w:val="both"/>
              <w:textAlignment w:val="auto"/>
              <w:outlineLvl w:val="9"/>
              <w:rPr>
                <w:rFonts w:ascii="Times New Roman" w:hAnsi="Times New Roman" w:eastAsia="PMingLiU" w:cs="Times New Roman"/>
                <w:color w:val="auto"/>
                <w:kern w:val="2"/>
                <w:sz w:val="20"/>
                <w:szCs w:val="20"/>
                <w:highlight w:val="none"/>
                <w:lang w:val="en-US" w:eastAsia="zh-TW" w:bidi="ar-SA"/>
              </w:rPr>
            </w:pPr>
            <w:r>
              <w:rPr>
                <w:rFonts w:ascii="Times New Roman" w:hAnsi="Times New Roman" w:eastAsia="PMingLiU" w:cs="Times New Roman"/>
                <w:color w:val="auto"/>
                <w:kern w:val="2"/>
                <w:sz w:val="20"/>
                <w:szCs w:val="20"/>
                <w:highlight w:val="none"/>
                <w:lang w:val="en-US" w:eastAsia="zh-TW" w:bidi="ar-SA"/>
              </w:rPr>
              <w:t>Proposal 1: Maintain the current ACS and IBB requirements to ensure UE selectivity</w:t>
            </w:r>
          </w:p>
          <w:p>
            <w:pPr>
              <w:keepNext/>
              <w:keepLines/>
              <w:pageBreakBefore w:val="0"/>
              <w:numPr>
                <w:ilvl w:val="1"/>
                <w:numId w:val="7"/>
              </w:numPr>
              <w:kinsoku/>
              <w:wordWrap/>
              <w:overflowPunct/>
              <w:topLinePunct w:val="0"/>
              <w:autoSpaceDE/>
              <w:autoSpaceDN/>
              <w:bidi w:val="0"/>
              <w:adjustRightInd/>
              <w:snapToGrid/>
              <w:spacing w:beforeLines="50" w:after="120" w:afterLines="50" w:line="259" w:lineRule="auto"/>
              <w:ind w:left="641" w:hanging="357" w:firstLineChars="0"/>
              <w:jc w:val="both"/>
              <w:textAlignment w:val="auto"/>
              <w:outlineLvl w:val="9"/>
              <w:rPr>
                <w:rFonts w:ascii="Times New Roman" w:hAnsi="Times New Roman" w:eastAsia="PMingLiU" w:cs="Times New Roman"/>
                <w:color w:val="auto"/>
                <w:kern w:val="2"/>
                <w:sz w:val="20"/>
                <w:szCs w:val="20"/>
                <w:highlight w:val="none"/>
                <w:lang w:val="en-US" w:eastAsia="zh-TW" w:bidi="ar-SA"/>
              </w:rPr>
            </w:pPr>
            <w:r>
              <w:rPr>
                <w:rFonts w:ascii="Times New Roman" w:hAnsi="Times New Roman" w:eastAsia="PMingLiU" w:cs="Times New Roman"/>
                <w:color w:val="auto"/>
                <w:kern w:val="2"/>
                <w:sz w:val="20"/>
                <w:szCs w:val="20"/>
                <w:highlight w:val="none"/>
                <w:lang w:val="en-US" w:eastAsia="zh-TW" w:bidi="ar-SA"/>
              </w:rPr>
              <w:t>Proposal 2: The fourth sub-bullet in the SID should be simplified to “Determine a reasonable upper level of the power spectral density difference of the in-gap signal compared to the two non-contiguous CCs”</w:t>
            </w:r>
          </w:p>
          <w:p>
            <w:pPr>
              <w:keepNext/>
              <w:keepLines/>
              <w:pageBreakBefore w:val="0"/>
              <w:numPr>
                <w:ilvl w:val="1"/>
                <w:numId w:val="7"/>
              </w:numPr>
              <w:kinsoku/>
              <w:wordWrap/>
              <w:overflowPunct/>
              <w:topLinePunct w:val="0"/>
              <w:autoSpaceDE/>
              <w:autoSpaceDN/>
              <w:bidi w:val="0"/>
              <w:adjustRightInd/>
              <w:snapToGrid/>
              <w:spacing w:beforeLines="50" w:after="120" w:afterLines="50" w:line="259" w:lineRule="auto"/>
              <w:ind w:left="641" w:hanging="357" w:firstLineChars="0"/>
              <w:jc w:val="both"/>
              <w:textAlignment w:val="auto"/>
              <w:outlineLvl w:val="9"/>
              <w:rPr>
                <w:rFonts w:ascii="Times New Roman" w:hAnsi="Times New Roman" w:eastAsia="PMingLiU" w:cs="Times New Roman"/>
                <w:color w:val="auto"/>
                <w:kern w:val="2"/>
                <w:sz w:val="20"/>
                <w:szCs w:val="20"/>
                <w:highlight w:val="none"/>
                <w:lang w:val="en-US" w:eastAsia="zh-TW" w:bidi="ar-SA"/>
              </w:rPr>
            </w:pPr>
            <w:r>
              <w:rPr>
                <w:rFonts w:ascii="Times New Roman" w:hAnsi="Times New Roman" w:eastAsia="PMingLiU" w:cs="Times New Roman"/>
                <w:color w:val="auto"/>
                <w:kern w:val="2"/>
                <w:sz w:val="20"/>
                <w:szCs w:val="20"/>
                <w:highlight w:val="none"/>
                <w:lang w:val="en-US" w:eastAsia="zh-TW" w:bidi="ar-SA"/>
              </w:rPr>
              <w:t>Proposal 3: RAN4 to confirm it is feasible to receive two non-contiguous CCs in a shared RF chains with the assumption that power spectral density imbalance between any of the CC and also the signal in the gap are within 6dB</w:t>
            </w:r>
          </w:p>
          <w:p>
            <w:pPr>
              <w:keepNext/>
              <w:keepLines/>
              <w:pageBreakBefore w:val="0"/>
              <w:numPr>
                <w:ilvl w:val="2"/>
                <w:numId w:val="7"/>
              </w:numPr>
              <w:kinsoku/>
              <w:wordWrap/>
              <w:overflowPunct/>
              <w:topLinePunct w:val="0"/>
              <w:autoSpaceDE/>
              <w:autoSpaceDN/>
              <w:bidi w:val="0"/>
              <w:adjustRightInd/>
              <w:snapToGrid/>
              <w:spacing w:beforeLines="50" w:after="120" w:afterLines="50" w:line="259" w:lineRule="auto"/>
              <w:ind w:left="2496" w:hanging="480" w:firstLineChars="0"/>
              <w:jc w:val="both"/>
              <w:textAlignment w:val="auto"/>
              <w:outlineLvl w:val="9"/>
              <w:rPr>
                <w:rFonts w:hint="eastAsia"/>
                <w:b/>
                <w:color w:val="auto"/>
                <w:sz w:val="20"/>
                <w:highlight w:val="none"/>
                <w:u w:val="single"/>
                <w:vertAlign w:val="baseline"/>
                <w:lang w:val="en-US" w:eastAsia="zh-CN"/>
              </w:rPr>
            </w:pPr>
            <w:r>
              <w:rPr>
                <w:rFonts w:ascii="Times New Roman" w:hAnsi="Times New Roman" w:eastAsia="PMingLiU" w:cs="Times New Roman"/>
                <w:color w:val="auto"/>
                <w:kern w:val="2"/>
                <w:sz w:val="20"/>
                <w:szCs w:val="20"/>
                <w:highlight w:val="none"/>
                <w:lang w:val="en-US" w:eastAsia="zh-TW" w:bidi="ar-SA"/>
              </w:rPr>
              <w:t>FFS on assuming higher PSD for the signal in the gap of 2CC</w:t>
            </w:r>
          </w:p>
          <w:p>
            <w:pPr>
              <w:keepNext/>
              <w:overflowPunct/>
              <w:autoSpaceDE/>
              <w:autoSpaceDN w:val="0"/>
              <w:adjustRightInd w:val="0"/>
              <w:spacing w:beforeLines="50" w:after="60" w:afterLines="50" w:line="240" w:lineRule="atLeast"/>
              <w:jc w:val="both"/>
              <w:textAlignment w:val="baseline"/>
              <w:outlineLvl w:val="3"/>
              <w:rPr>
                <w:rFonts w:ascii="Times New Roman" w:hAnsi="Times New Roman" w:eastAsia="宋体" w:cs="Times New Roman"/>
                <w:b/>
                <w:color w:val="auto"/>
                <w:kern w:val="2"/>
                <w:sz w:val="20"/>
                <w:szCs w:val="36"/>
                <w:highlight w:val="none"/>
                <w:u w:val="single"/>
                <w:lang w:val="en-US" w:eastAsia="ko-KR" w:bidi="ar-SA"/>
              </w:rPr>
            </w:pPr>
            <w:r>
              <w:rPr>
                <w:rFonts w:ascii="Times New Roman" w:hAnsi="Times New Roman" w:eastAsia="宋体" w:cs="Times New Roman"/>
                <w:b/>
                <w:color w:val="auto"/>
                <w:kern w:val="2"/>
                <w:sz w:val="20"/>
                <w:szCs w:val="36"/>
                <w:highlight w:val="none"/>
                <w:u w:val="single"/>
                <w:lang w:val="en-US" w:eastAsia="ko-KR" w:bidi="ar-SA"/>
              </w:rPr>
              <w:t>Issue 3-1-3: Requirements for evaluation</w:t>
            </w:r>
          </w:p>
          <w:p>
            <w:pPr>
              <w:overflowPunct/>
              <w:autoSpaceDE/>
              <w:autoSpaceDN w:val="0"/>
              <w:adjustRightInd/>
              <w:spacing w:after="120"/>
              <w:textAlignment w:val="baseline"/>
              <w:rPr>
                <w:rFonts w:eastAsia="宋体"/>
                <w:color w:val="auto"/>
                <w:sz w:val="20"/>
                <w:szCs w:val="20"/>
                <w:highlight w:val="none"/>
                <w:lang w:eastAsia="zh-CN"/>
              </w:rPr>
            </w:pPr>
            <w:r>
              <w:rPr>
                <w:rFonts w:eastAsia="宋体"/>
                <w:color w:val="auto"/>
                <w:sz w:val="20"/>
                <w:szCs w:val="20"/>
                <w:highlight w:val="none"/>
                <w:lang w:eastAsia="zh-CN"/>
              </w:rPr>
              <w:t>Recommended WF:</w:t>
            </w:r>
          </w:p>
          <w:p>
            <w:pPr>
              <w:overflowPunct/>
              <w:autoSpaceDE/>
              <w:autoSpaceDN w:val="0"/>
              <w:adjustRightInd/>
              <w:spacing w:after="120"/>
              <w:ind w:firstLine="360"/>
              <w:textAlignment w:val="baseline"/>
              <w:rPr>
                <w:rFonts w:eastAsia="宋体"/>
                <w:color w:val="auto"/>
                <w:sz w:val="20"/>
                <w:szCs w:val="20"/>
                <w:highlight w:val="none"/>
                <w:lang w:eastAsia="zh-CN"/>
              </w:rPr>
            </w:pPr>
            <w:r>
              <w:rPr>
                <w:rFonts w:eastAsia="宋体"/>
                <w:color w:val="auto"/>
                <w:sz w:val="20"/>
                <w:szCs w:val="20"/>
                <w:highlight w:val="none"/>
                <w:lang w:eastAsia="zh-CN"/>
              </w:rPr>
              <w:t>Companies’ views are diverged but not controversial. Further discuss following bullets see if they can be agreeable as a package</w:t>
            </w:r>
          </w:p>
          <w:p>
            <w:pPr>
              <w:numPr>
                <w:ilvl w:val="0"/>
                <w:numId w:val="7"/>
              </w:numPr>
              <w:overflowPunct/>
              <w:autoSpaceDE/>
              <w:autoSpaceDN w:val="0"/>
              <w:adjustRightInd/>
              <w:spacing w:beforeLines="50" w:after="120" w:afterLines="50" w:line="259" w:lineRule="auto"/>
              <w:ind w:left="720" w:firstLine="420" w:firstLineChars="0"/>
              <w:jc w:val="both"/>
              <w:textAlignment w:val="baseline"/>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Both TDD and FDD intra-band DL contiguous CA should be included</w:t>
            </w:r>
          </w:p>
          <w:p>
            <w:pPr>
              <w:numPr>
                <w:ilvl w:val="0"/>
                <w:numId w:val="7"/>
              </w:numPr>
              <w:overflowPunct/>
              <w:autoSpaceDE/>
              <w:autoSpaceDN w:val="0"/>
              <w:adjustRightInd/>
              <w:spacing w:beforeLines="50" w:after="120" w:afterLines="50" w:line="259" w:lineRule="auto"/>
              <w:ind w:left="720" w:firstLine="420" w:firstLineChars="0"/>
              <w:jc w:val="both"/>
              <w:textAlignment w:val="baseline"/>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ΔRIBNC, ACS, IBB, NBB requirements [on both PCC and SCC]</w:t>
            </w:r>
            <w:r>
              <w:rPr>
                <w:rFonts w:hint="eastAsia" w:ascii="MS Mincho" w:hAnsi="MS Mincho" w:eastAsia="MS Mincho" w:cs="Times New Roman"/>
                <w:color w:val="auto"/>
                <w:kern w:val="2"/>
                <w:sz w:val="20"/>
                <w:szCs w:val="20"/>
                <w:highlight w:val="none"/>
                <w:lang w:val="en-US" w:eastAsia="zh-CN" w:bidi="ar-SA"/>
              </w:rPr>
              <w:t xml:space="preserve"> </w:t>
            </w:r>
            <w:r>
              <w:rPr>
                <w:rFonts w:ascii="Times New Roman" w:hAnsi="Times New Roman" w:eastAsia="宋体" w:cs="Times New Roman"/>
                <w:color w:val="auto"/>
                <w:kern w:val="2"/>
                <w:sz w:val="20"/>
                <w:szCs w:val="20"/>
                <w:highlight w:val="none"/>
                <w:lang w:val="en-US" w:eastAsia="zh-CN" w:bidi="ar-SA"/>
              </w:rPr>
              <w:t>as well as the minimum guard band sizes for single Rx RF chain, all need to be evaluated</w:t>
            </w:r>
          </w:p>
          <w:p>
            <w:pPr>
              <w:numPr>
                <w:ilvl w:val="1"/>
                <w:numId w:val="7"/>
              </w:numPr>
              <w:overflowPunct/>
              <w:autoSpaceDE/>
              <w:autoSpaceDN w:val="0"/>
              <w:adjustRightInd/>
              <w:spacing w:beforeLines="50" w:after="120" w:afterLines="50" w:line="259" w:lineRule="auto"/>
              <w:ind w:left="1776" w:hanging="480" w:firstLineChars="0"/>
              <w:jc w:val="both"/>
              <w:textAlignment w:val="baseline"/>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Out-of-band blocking and spurious response do not need requirement adjustment</w:t>
            </w:r>
          </w:p>
          <w:p>
            <w:pPr>
              <w:numPr>
                <w:ilvl w:val="0"/>
                <w:numId w:val="7"/>
              </w:numPr>
              <w:overflowPunct/>
              <w:autoSpaceDE/>
              <w:autoSpaceDN w:val="0"/>
              <w:adjustRightInd/>
              <w:spacing w:beforeLines="50" w:after="120" w:afterLines="50" w:line="259" w:lineRule="auto"/>
              <w:ind w:left="720" w:firstLine="420" w:firstLineChars="0"/>
              <w:jc w:val="both"/>
              <w:textAlignment w:val="baseline"/>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en-GB" w:bidi="ar-SA"/>
              </w:rPr>
              <w:commentReference w:id="0"/>
            </w:r>
            <w:r>
              <w:rPr>
                <w:rFonts w:ascii="Times New Roman" w:hAnsi="Times New Roman" w:eastAsia="宋体" w:cs="Times New Roman"/>
                <w:color w:val="auto"/>
                <w:kern w:val="2"/>
                <w:sz w:val="20"/>
                <w:szCs w:val="20"/>
                <w:highlight w:val="none"/>
                <w:lang w:val="en-US" w:eastAsia="zh-CN" w:bidi="ar-SA"/>
              </w:rPr>
              <w:t>Adjusted requirements for fragmented carriers shall be separated from the existing FDD/TDD  intra-band carrier non-contiguous aggregation ΔRIBNC, ACS, IBB, NBB</w:t>
            </w:r>
          </w:p>
          <w:p>
            <w:pPr>
              <w:numPr>
                <w:ilvl w:val="0"/>
                <w:numId w:val="7"/>
              </w:numPr>
              <w:overflowPunct/>
              <w:autoSpaceDE/>
              <w:autoSpaceDN w:val="0"/>
              <w:adjustRightInd/>
              <w:spacing w:beforeLines="50" w:after="120" w:afterLines="50" w:line="259" w:lineRule="auto"/>
              <w:ind w:left="720" w:firstLine="420" w:firstLineChars="0"/>
              <w:jc w:val="both"/>
              <w:textAlignment w:val="baseline"/>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Discussion on if a rejection level of the image caused by the in-gap interferer is needed</w:t>
            </w:r>
          </w:p>
          <w:p>
            <w:pPr>
              <w:numPr>
                <w:ilvl w:val="0"/>
                <w:numId w:val="7"/>
              </w:numPr>
              <w:overflowPunct/>
              <w:autoSpaceDE/>
              <w:autoSpaceDN w:val="0"/>
              <w:adjustRightInd/>
              <w:spacing w:beforeLines="50" w:after="120" w:afterLines="50" w:line="259" w:lineRule="auto"/>
              <w:ind w:left="720" w:firstLine="420" w:firstLineChars="0"/>
              <w:jc w:val="both"/>
              <w:textAlignment w:val="baseline"/>
              <w:rPr>
                <w:rFonts w:hint="eastAsia"/>
                <w:b/>
                <w:color w:val="auto"/>
                <w:sz w:val="20"/>
                <w:highlight w:val="none"/>
                <w:u w:val="single"/>
                <w:vertAlign w:val="baseline"/>
                <w:lang w:val="en-US" w:eastAsia="zh-CN"/>
              </w:rPr>
            </w:pPr>
            <w:r>
              <w:rPr>
                <w:rFonts w:ascii="Times New Roman" w:hAnsi="Times New Roman" w:eastAsia="宋体" w:cs="Times New Roman"/>
                <w:color w:val="auto"/>
                <w:kern w:val="2"/>
                <w:sz w:val="20"/>
                <w:szCs w:val="20"/>
                <w:highlight w:val="none"/>
                <w:lang w:val="en-US" w:eastAsia="zh-CN" w:bidi="ar-SA"/>
              </w:rPr>
              <w:t>Discussion on new requirement(s) if identified is not precluded</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val="0"/>
          <w:bCs w:val="0"/>
          <w:kern w:val="2"/>
          <w:sz w:val="20"/>
          <w:szCs w:val="20"/>
          <w:lang w:val="en-US" w:eastAsia="zh-CN"/>
        </w:rPr>
      </w:pPr>
      <w:r>
        <w:rPr>
          <w:rFonts w:hint="eastAsia"/>
          <w:sz w:val="20"/>
          <w:lang w:val="en-US" w:eastAsia="zh-CN"/>
        </w:rPr>
        <w:t>As we discussed in [3], b</w:t>
      </w:r>
      <w:r>
        <w:rPr>
          <w:rFonts w:hint="eastAsia"/>
          <w:sz w:val="20"/>
          <w:szCs w:val="20"/>
          <w:lang w:val="en-US" w:eastAsia="zh-CN"/>
        </w:rPr>
        <w:t xml:space="preserve">y sharing the Rx RF chain, </w:t>
      </w:r>
      <w:r>
        <w:rPr>
          <w:rFonts w:hint="eastAsia"/>
          <w:sz w:val="20"/>
          <w:lang w:val="en-US" w:eastAsia="zh-CN"/>
        </w:rPr>
        <w:t>t</w:t>
      </w:r>
      <w:r>
        <w:rPr>
          <w:rFonts w:hint="eastAsia"/>
          <w:b w:val="0"/>
          <w:bCs w:val="0"/>
          <w:kern w:val="2"/>
          <w:sz w:val="20"/>
          <w:lang w:val="en-US" w:eastAsia="zh-CN"/>
        </w:rPr>
        <w:t>here is no impact on maximum input level requirements, and</w:t>
      </w:r>
      <w:r>
        <w:rPr>
          <w:rFonts w:hint="eastAsia"/>
          <w:sz w:val="20"/>
          <w:szCs w:val="20"/>
          <w:lang w:val="en-US" w:eastAsia="zh-CN"/>
        </w:rPr>
        <w:t xml:space="preserve"> the mainly impacts are the requirements between the two DL carrier, a.k.a in-gap requirements.</w:t>
      </w:r>
      <w:r>
        <w:rPr>
          <w:rFonts w:hint="eastAsia"/>
          <w:b w:val="0"/>
          <w:bCs w:val="0"/>
          <w:kern w:val="2"/>
          <w:sz w:val="20"/>
          <w:szCs w:val="20"/>
          <w:lang w:val="en-US" w:eastAsia="zh-CN"/>
        </w:rPr>
        <w:t xml:space="preserve">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eastAsia="Calibri"/>
          <w:sz w:val="20"/>
          <w:szCs w:val="22"/>
        </w:rPr>
      </w:pPr>
      <w:r>
        <w:rPr>
          <w:rFonts w:hint="eastAsia"/>
          <w:b w:val="0"/>
          <w:bCs w:val="0"/>
          <w:kern w:val="2"/>
          <w:sz w:val="20"/>
          <w:szCs w:val="20"/>
          <w:lang w:val="en-US" w:eastAsia="zh-CN"/>
        </w:rPr>
        <w:t xml:space="preserve">For ACS value, it </w:t>
      </w:r>
      <w:r>
        <w:rPr>
          <w:rFonts w:hint="eastAsia"/>
          <w:sz w:val="20"/>
          <w:szCs w:val="20"/>
          <w:lang w:val="en-US" w:eastAsia="zh-CN"/>
        </w:rPr>
        <w:t xml:space="preserve">is related to co-existence study, so we think it should be caution to modify the ACS dB level when sharing the Rx RF chain to void the increasing </w:t>
      </w:r>
      <w:r>
        <w:rPr>
          <w:rFonts w:eastAsia="Calibri"/>
          <w:sz w:val="20"/>
          <w:szCs w:val="22"/>
        </w:rPr>
        <w:t>interference potentially degrades overall network performance and user experience.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current spec, t</w:t>
      </w:r>
      <w:r>
        <w:t>he UE shall fulfil the minimum requirements all values of a single adjacent channel interferer in-gap and out-of-gap up to a –25 dBm interferer power while all downlink carriers are active</w:t>
      </w:r>
      <w:r>
        <w:rPr>
          <w:rFonts w:hint="eastAsia"/>
          <w:lang w:val="en-US" w:eastAsia="zh-CN"/>
        </w:rPr>
        <w:t>, w</w:t>
      </w:r>
      <w:r>
        <w:rPr>
          <w:rFonts w:hint="eastAsia" w:cs="Times New Roman"/>
          <w:b w:val="0"/>
          <w:bCs w:val="0"/>
          <w:kern w:val="0"/>
          <w:sz w:val="20"/>
          <w:szCs w:val="20"/>
          <w:highlight w:val="none"/>
          <w:lang w:val="en-US" w:eastAsia="zh-CN"/>
        </w:rPr>
        <w:t>here the -25dBm is the same as the maximum input level requirements. For a UE supporting fragments carrier within 100MHz by sharing Rx RF chain should also met this kind of test parameter since we think th</w:t>
      </w:r>
      <w:r>
        <w:rPr>
          <w:rFonts w:hint="eastAsia"/>
          <w:lang w:val="en-US" w:eastAsia="zh-CN"/>
        </w:rPr>
        <w:t xml:space="preserve">e maximum </w:t>
      </w:r>
      <w:r>
        <w:t xml:space="preserve">interferer power </w:t>
      </w:r>
      <w:r>
        <w:rPr>
          <w:rFonts w:hint="eastAsia"/>
          <w:lang w:val="en-US" w:eastAsia="zh-CN"/>
        </w:rPr>
        <w:t xml:space="preserve">condition (equals to maximum input level for the upper Rx dynamic range) would not be changed regardless separated or shared Rx RF chain is used.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color w:val="auto"/>
          <w:kern w:val="2"/>
          <w:sz w:val="20"/>
          <w:szCs w:val="20"/>
          <w:highlight w:val="none"/>
          <w:lang w:val="en-US" w:eastAsia="zh-CN" w:bidi="ar-SA"/>
        </w:rPr>
      </w:pPr>
      <w:r>
        <w:rPr>
          <w:rFonts w:hint="eastAsia" w:cs="Times New Roman"/>
          <w:b/>
          <w:bCs/>
          <w:i/>
          <w:iCs/>
          <w:color w:val="auto"/>
          <w:kern w:val="2"/>
          <w:sz w:val="20"/>
          <w:szCs w:val="20"/>
          <w:highlight w:val="none"/>
          <w:lang w:val="en-US" w:eastAsia="zh-CN" w:bidi="ar-SA"/>
        </w:rPr>
        <w:t>Proposal 3. The existing ACS level should be maintained when reducing the Rx chain number.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cs="Times New Roman"/>
          <w:b w:val="0"/>
          <w:bCs w:val="0"/>
          <w:kern w:val="0"/>
          <w:sz w:val="20"/>
          <w:szCs w:val="20"/>
          <w:highlight w:val="none"/>
          <w:lang w:val="en-US" w:eastAsia="zh-CN"/>
        </w:rPr>
      </w:pPr>
      <w:r>
        <w:rPr>
          <w:rFonts w:hint="eastAsia" w:cs="Times New Roman"/>
          <w:b/>
          <w:bCs/>
          <w:i/>
          <w:iCs/>
          <w:color w:val="auto"/>
          <w:kern w:val="2"/>
          <w:sz w:val="20"/>
          <w:szCs w:val="20"/>
          <w:highlight w:val="none"/>
          <w:lang w:val="en-US" w:eastAsia="zh-CN" w:bidi="ar-SA"/>
        </w:rPr>
        <w:t>Proposal 4: To adopt up to -25dBm interferer power for fragments ACS requirements.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sz w:val="20"/>
          <w:szCs w:val="22"/>
          <w:lang w:val="en-US" w:eastAsia="zh-CN"/>
        </w:rPr>
      </w:pPr>
      <w:r>
        <w:rPr>
          <w:rFonts w:hint="eastAsia"/>
          <w:lang w:val="en-US" w:eastAsia="zh-CN"/>
        </w:rPr>
        <w:t xml:space="preserve">To achieve the above goal, as mentioned in [3], </w:t>
      </w:r>
      <w:r>
        <w:rPr>
          <w:rFonts w:eastAsia="Calibri"/>
          <w:sz w:val="20"/>
          <w:szCs w:val="22"/>
        </w:rPr>
        <w:t>the focus should be on innovative receiver designs, leaving the implementation up to UE vendor.</w:t>
      </w:r>
      <w:r>
        <w:rPr>
          <w:rFonts w:hint="eastAsia" w:eastAsia="宋体"/>
          <w:sz w:val="20"/>
          <w:szCs w:val="22"/>
          <w:lang w:val="en-US" w:eastAsia="zh-CN"/>
        </w:rPr>
        <w:t xml:space="preserve"> </w:t>
      </w:r>
    </w:p>
    <w:p>
      <w:pPr>
        <w:keepNext/>
        <w:keepLines/>
        <w:pageBreakBefore w:val="0"/>
        <w:widowControl w:val="0"/>
        <w:suppressLineNumbers w:val="0"/>
        <w:kinsoku/>
        <w:wordWrap/>
        <w:topLinePunct w:val="0"/>
        <w:bidi w:val="0"/>
        <w:snapToGrid/>
        <w:jc w:val="left"/>
        <w:rPr>
          <w:rFonts w:hint="default"/>
          <w:sz w:val="20"/>
          <w:lang w:val="en-US" w:eastAsia="zh-CN"/>
        </w:rPr>
      </w:pPr>
      <w:r>
        <w:rPr>
          <w:rFonts w:hint="eastAsia"/>
          <w:sz w:val="20"/>
          <w:lang w:val="en-US" w:eastAsia="zh-CN"/>
        </w:rPr>
        <w:t>Moreover, the in-gap tests is applied only if the Wgap satisfy the equation conditions as specified in the spec, which is:</w:t>
      </w:r>
    </w:p>
    <w:p>
      <w:pPr>
        <w:keepNext/>
        <w:keepLines/>
        <w:pageBreakBefore w:val="0"/>
        <w:widowControl w:val="0"/>
        <w:suppressLineNumbers w:val="0"/>
        <w:kinsoku/>
        <w:wordWrap/>
        <w:topLinePunct w:val="0"/>
        <w:bidi w:val="0"/>
        <w:snapToGrid/>
        <w:jc w:val="left"/>
      </w:pPr>
      <w:r>
        <w:drawing>
          <wp:inline distT="0" distB="0" distL="114300" distR="114300">
            <wp:extent cx="6103620" cy="1143000"/>
            <wp:effectExtent l="0" t="0" r="762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5"/>
                    <a:stretch>
                      <a:fillRect/>
                    </a:stretch>
                  </pic:blipFill>
                  <pic:spPr>
                    <a:xfrm>
                      <a:off x="0" y="0"/>
                      <a:ext cx="6103620" cy="1143000"/>
                    </a:xfrm>
                    <a:prstGeom prst="rect">
                      <a:avLst/>
                    </a:prstGeom>
                    <a:noFill/>
                    <a:ln>
                      <a:noFill/>
                    </a:ln>
                  </pic:spPr>
                </pic:pic>
              </a:graphicData>
            </a:graphic>
          </wp:inline>
        </w:drawing>
      </w:r>
    </w:p>
    <w:p>
      <w:pPr>
        <w:keepNext/>
        <w:keepLines/>
        <w:pageBreakBefore w:val="0"/>
        <w:widowControl w:val="0"/>
        <w:suppressLineNumbers w:val="0"/>
        <w:kinsoku/>
        <w:wordWrap/>
        <w:topLinePunct w:val="0"/>
        <w:bidi w:val="0"/>
        <w:snapToGrid/>
        <w:jc w:val="left"/>
        <w:rPr>
          <w:rFonts w:hint="default" w:eastAsia="宋体"/>
          <w:lang w:val="en-US" w:eastAsia="zh-CN"/>
        </w:rPr>
      </w:pPr>
      <w:r>
        <w:rPr>
          <w:rFonts w:hint="eastAsia"/>
          <w:lang w:val="en-US" w:eastAsia="zh-CN"/>
        </w:rPr>
        <w:t xml:space="preserve">In our understanding, the existing conditions of the Wgap shall be also applied for the shared RF chain, which is if the </w:t>
      </w:r>
      <w:r>
        <w:rPr>
          <w:rFonts w:cs="v5.0.0"/>
        </w:rPr>
        <w:t>interferer frequency position</w:t>
      </w:r>
      <w:r>
        <w:rPr>
          <w:rFonts w:hint="eastAsia" w:cs="v5.0.0"/>
          <w:lang w:val="en-US" w:eastAsia="zh-CN"/>
        </w:rPr>
        <w:t xml:space="preserve"> does not meet the Wgap condition, then no test is foreseen.</w:t>
      </w:r>
    </w:p>
    <w:p>
      <w:pPr>
        <w:keepNext/>
        <w:keepLines/>
        <w:pageBreakBefore w:val="0"/>
        <w:widowControl w:val="0"/>
        <w:suppressLineNumbers w:val="0"/>
        <w:kinsoku/>
        <w:wordWrap/>
        <w:topLinePunct w:val="0"/>
        <w:bidi w:val="0"/>
        <w:snapToGrid/>
        <w:jc w:val="left"/>
        <w:rPr>
          <w:rFonts w:hint="eastAsia" w:eastAsia="宋体"/>
          <w:i/>
          <w:iCs/>
          <w:sz w:val="20"/>
          <w:szCs w:val="22"/>
          <w:lang w:val="en-US" w:eastAsia="zh-CN"/>
        </w:rPr>
      </w:pPr>
      <w:r>
        <w:rPr>
          <w:rFonts w:hint="eastAsia" w:cs="Times New Roman"/>
          <w:b/>
          <w:bCs/>
          <w:i/>
          <w:iCs/>
          <w:kern w:val="0"/>
          <w:sz w:val="20"/>
          <w:szCs w:val="20"/>
          <w:highlight w:val="none"/>
          <w:lang w:val="en-US" w:eastAsia="zh-CN"/>
        </w:rPr>
        <w:t xml:space="preserve">Proposal 5: For the in-band gap test, </w:t>
      </w:r>
      <w:r>
        <w:rPr>
          <w:rFonts w:hint="eastAsia"/>
          <w:b/>
          <w:bCs/>
          <w:i/>
          <w:iCs/>
          <w:lang w:val="en-US" w:eastAsia="zh-CN"/>
        </w:rPr>
        <w:t>the existing conditions of the Wgap shall be also applied for the shared RF chain.</w:t>
      </w:r>
    </w:p>
    <w:bookmarkEnd w:id="8"/>
    <w:bookmarkEnd w:id="9"/>
    <w:bookmarkEnd w:id="10"/>
    <w:bookmarkEnd w:id="11"/>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discussions on </w:t>
      </w:r>
      <w:r>
        <w:rPr>
          <w:rFonts w:hint="eastAsia" w:cs="Times New Roman"/>
          <w:sz w:val="20"/>
          <w:szCs w:val="20"/>
          <w:lang w:val="en-US" w:eastAsia="zh-CN"/>
        </w:rPr>
        <w:t xml:space="preserve">the </w:t>
      </w:r>
      <w:r>
        <w:rPr>
          <w:rFonts w:hint="eastAsia" w:eastAsia="宋体" w:cs="Times New Roman"/>
          <w:sz w:val="20"/>
          <w:szCs w:val="20"/>
          <w:lang w:val="en-US" w:eastAsia="zh-CN"/>
        </w:rPr>
        <w:t>methods for reducing the number of UE Rx chains</w:t>
      </w:r>
      <w:r>
        <w:rPr>
          <w:rFonts w:hint="eastAsia" w:cs="Times New Roman"/>
          <w:sz w:val="20"/>
          <w:szCs w:val="20"/>
          <w:lang w:val="en-US" w:eastAsia="zh-CN"/>
        </w:rPr>
        <w:t xml:space="preserve"> for</w:t>
      </w:r>
      <w:r>
        <w:rPr>
          <w:rFonts w:hint="eastAsia" w:eastAsia="宋体" w:cs="Times New Roman"/>
          <w:sz w:val="20"/>
          <w:szCs w:val="20"/>
          <w:lang w:val="en-US" w:eastAsia="zh-CN"/>
        </w:rPr>
        <w:t xml:space="preserve"> fragment carriers. </w:t>
      </w:r>
      <w:r>
        <w:rPr>
          <w:rFonts w:hint="eastAsia"/>
          <w:bCs/>
          <w:kern w:val="0"/>
          <w:sz w:val="21"/>
          <w:szCs w:val="21"/>
          <w:highlight w:val="none"/>
          <w:lang w:val="en-US" w:eastAsia="zh-CN"/>
        </w:rPr>
        <w:t>The conclusions are summarized in the following: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bCs/>
          <w:i/>
          <w:iCs/>
          <w:kern w:val="2"/>
          <w:sz w:val="20"/>
          <w:szCs w:val="20"/>
          <w:lang w:val="en-US" w:eastAsia="zh-CN"/>
        </w:rPr>
      </w:pPr>
      <w:r>
        <w:rPr>
          <w:rFonts w:hint="eastAsia"/>
          <w:b/>
          <w:bCs/>
          <w:i/>
          <w:iCs/>
          <w:sz w:val="20"/>
          <w:szCs w:val="20"/>
          <w:lang w:val="en-US" w:eastAsia="zh-CN"/>
        </w:rPr>
        <w:t xml:space="preserve">Observation 1. The power difference, PSD difference and the carrier channel bandwidths </w:t>
      </w:r>
      <w:r>
        <w:rPr>
          <w:rFonts w:hint="eastAsia" w:cs="Times New Roman"/>
          <w:b/>
          <w:bCs/>
          <w:i/>
          <w:iCs/>
          <w:kern w:val="2"/>
          <w:sz w:val="20"/>
          <w:szCs w:val="20"/>
          <w:lang w:val="en-US" w:eastAsia="zh-CN"/>
        </w:rPr>
        <w:t>are dependent each other.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i/>
          <w:iCs/>
          <w:sz w:val="20"/>
          <w:szCs w:val="20"/>
          <w:lang w:val="en-US" w:eastAsia="zh-CN"/>
        </w:rPr>
      </w:pPr>
      <w:r>
        <w:rPr>
          <w:rFonts w:hint="eastAsia"/>
          <w:b/>
          <w:bCs/>
          <w:i/>
          <w:iCs/>
          <w:sz w:val="20"/>
          <w:szCs w:val="20"/>
          <w:lang w:val="en-US" w:eastAsia="zh-CN"/>
        </w:rPr>
        <w:t>Observation 2. It might be difficult to decide how much the PSD</w:t>
      </w:r>
      <w:r>
        <w:rPr>
          <w:rFonts w:hint="eastAsia"/>
          <w:b/>
          <w:bCs/>
          <w:i/>
          <w:iCs/>
          <w:sz w:val="20"/>
          <w:szCs w:val="20"/>
          <w:lang w:val="en-US" w:eastAsia="ko-KR"/>
        </w:rPr>
        <w:t xml:space="preserve"> difference </w:t>
      </w:r>
      <w:r>
        <w:rPr>
          <w:rFonts w:hint="eastAsia"/>
          <w:b/>
          <w:bCs/>
          <w:i/>
          <w:iCs/>
          <w:sz w:val="20"/>
          <w:szCs w:val="20"/>
          <w:lang w:val="en-US" w:eastAsia="zh-CN"/>
        </w:rPr>
        <w:t xml:space="preserve">or power difference </w:t>
      </w:r>
      <w:r>
        <w:rPr>
          <w:rFonts w:hint="eastAsia"/>
          <w:b/>
          <w:bCs/>
          <w:i/>
          <w:iCs/>
          <w:sz w:val="20"/>
          <w:szCs w:val="20"/>
          <w:lang w:val="en-US" w:eastAsia="ko-KR"/>
        </w:rPr>
        <w:t>between carriers of co-located adjacent channel operators</w:t>
      </w:r>
      <w:r>
        <w:rPr>
          <w:rFonts w:hint="eastAsia"/>
          <w:b/>
          <w:bCs/>
          <w:i/>
          <w:iCs/>
          <w:sz w:val="20"/>
          <w:szCs w:val="20"/>
          <w:lang w:val="en-US" w:eastAsia="zh-CN"/>
        </w:rPr>
        <w:t xml:space="preserve"> due to implementation consideration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color w:val="auto"/>
          <w:kern w:val="2"/>
          <w:sz w:val="20"/>
          <w:szCs w:val="20"/>
          <w:highlight w:val="none"/>
          <w:lang w:val="en-US" w:eastAsia="zh-CN" w:bidi="ar-SA"/>
        </w:rPr>
      </w:pPr>
      <w:r>
        <w:rPr>
          <w:rFonts w:hint="eastAsia"/>
          <w:b/>
          <w:bCs/>
          <w:i/>
          <w:iCs/>
          <w:sz w:val="20"/>
          <w:szCs w:val="20"/>
          <w:lang w:val="en-US" w:eastAsia="zh-CN"/>
        </w:rPr>
        <w:t xml:space="preserve">Proposal 1: </w:t>
      </w:r>
      <w:r>
        <w:rPr>
          <w:rFonts w:ascii="Times New Roman" w:hAnsi="Times New Roman" w:eastAsia="宋体" w:cs="Times New Roman"/>
          <w:b/>
          <w:bCs/>
          <w:i/>
          <w:iCs/>
          <w:color w:val="auto"/>
          <w:kern w:val="2"/>
          <w:sz w:val="20"/>
          <w:szCs w:val="20"/>
          <w:highlight w:val="none"/>
          <w:lang w:val="en-US" w:eastAsia="zh-CN" w:bidi="ar-SA"/>
        </w:rPr>
        <w:t>The scope should be those bands, where the fragments are fully confined within 100MHz, which includes all FDD/SDL bands and TDD bands</w:t>
      </w:r>
      <w:r>
        <w:rPr>
          <w:rFonts w:hint="eastAsia" w:cs="Times New Roman"/>
          <w:b/>
          <w:bCs/>
          <w:i/>
          <w:iCs/>
          <w:color w:val="auto"/>
          <w:kern w:val="2"/>
          <w:sz w:val="20"/>
          <w:szCs w:val="20"/>
          <w:highlight w:val="none"/>
          <w:lang w:val="en-US" w:eastAsia="zh-CN" w:bidi="ar-SA"/>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iCs/>
          <w:sz w:val="20"/>
          <w:szCs w:val="20"/>
          <w:lang w:val="en-US" w:eastAsia="zh-CN"/>
        </w:rPr>
      </w:pPr>
      <w:r>
        <w:rPr>
          <w:rFonts w:hint="eastAsia" w:cs="Times New Roman"/>
          <w:b/>
          <w:bCs/>
          <w:i/>
          <w:iCs/>
          <w:color w:val="auto"/>
          <w:kern w:val="2"/>
          <w:sz w:val="20"/>
          <w:szCs w:val="20"/>
          <w:highlight w:val="none"/>
          <w:lang w:val="en-US" w:eastAsia="zh-CN" w:bidi="ar-SA"/>
        </w:rPr>
        <w:t xml:space="preserve">Proposal 2: For </w:t>
      </w:r>
      <w:r>
        <w:rPr>
          <w:b/>
          <w:bCs/>
          <w:i/>
          <w:iCs/>
          <w:sz w:val="20"/>
          <w:szCs w:val="20"/>
        </w:rPr>
        <w:t>ΔR</w:t>
      </w:r>
      <w:r>
        <w:rPr>
          <w:b/>
          <w:bCs/>
          <w:i/>
          <w:iCs/>
          <w:sz w:val="20"/>
          <w:szCs w:val="20"/>
          <w:vertAlign w:val="subscript"/>
        </w:rPr>
        <w:t>IBNC</w:t>
      </w:r>
      <w:r>
        <w:rPr>
          <w:b/>
          <w:bCs/>
          <w:i/>
          <w:iCs/>
          <w:sz w:val="20"/>
          <w:szCs w:val="20"/>
        </w:rPr>
        <w:t xml:space="preserve"> </w:t>
      </w:r>
      <w:r>
        <w:rPr>
          <w:rFonts w:hint="eastAsia"/>
          <w:b/>
          <w:bCs/>
          <w:i/>
          <w:iCs/>
          <w:sz w:val="20"/>
          <w:szCs w:val="20"/>
          <w:lang w:val="en-US" w:eastAsia="zh-CN"/>
        </w:rPr>
        <w:t>requirements re-evaluation:</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default"/>
          <w:b/>
          <w:bCs/>
          <w:i/>
          <w:iCs/>
          <w:sz w:val="20"/>
          <w:szCs w:val="20"/>
          <w:lang w:val="en-US" w:eastAsia="zh-CN"/>
        </w:rPr>
      </w:pPr>
      <w:r>
        <w:rPr>
          <w:rFonts w:hint="eastAsia"/>
          <w:b/>
          <w:bCs/>
          <w:i/>
          <w:iCs/>
          <w:sz w:val="20"/>
          <w:szCs w:val="20"/>
          <w:lang w:val="en-US" w:eastAsia="zh-CN"/>
        </w:rPr>
        <w:t>- The example bands should be in the scope of existing intra-band non-contiguous CA operating bands</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eastAsia"/>
          <w:b/>
          <w:bCs/>
          <w:i/>
          <w:iCs/>
          <w:sz w:val="20"/>
          <w:szCs w:val="20"/>
          <w:lang w:val="en-US" w:eastAsia="zh-CN"/>
        </w:rPr>
      </w:pPr>
      <w:r>
        <w:rPr>
          <w:rFonts w:hint="eastAsia"/>
          <w:b/>
          <w:bCs/>
          <w:i/>
          <w:iCs/>
          <w:sz w:val="20"/>
          <w:szCs w:val="20"/>
          <w:lang w:val="en-US" w:eastAsia="zh-CN"/>
        </w:rPr>
        <w:t>- The existing test points are reused;</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ascii="Times New Roman" w:hAnsi="Times New Roman" w:eastAsia="宋体"/>
          <w:b/>
          <w:bCs/>
          <w:i/>
          <w:iCs/>
          <w:lang w:val="en-US"/>
        </w:rPr>
      </w:pPr>
      <w:r>
        <w:rPr>
          <w:rFonts w:hint="eastAsia"/>
          <w:b/>
          <w:bCs/>
          <w:i/>
          <w:iCs/>
          <w:szCs w:val="18"/>
          <w:lang w:val="en-US" w:eastAsia="zh-CN"/>
        </w:rPr>
        <w:t xml:space="preserve">- Priority to </w:t>
      </w:r>
      <w:r>
        <w:rPr>
          <w:rFonts w:ascii="Times New Roman" w:hAnsi="Times New Roman" w:eastAsia="宋体"/>
          <w:b/>
          <w:bCs/>
          <w:i/>
          <w:iCs/>
          <w:lang w:val="en-US"/>
        </w:rPr>
        <w:t>one uplink carrier</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default" w:ascii="Times New Roman" w:hAnsi="Times New Roman" w:eastAsia="宋体"/>
          <w:b/>
          <w:bCs/>
          <w:i/>
          <w:iCs/>
          <w:lang w:val="en-US" w:eastAsia="zh-CN"/>
        </w:rPr>
      </w:pPr>
      <w:r>
        <w:rPr>
          <w:rFonts w:hint="eastAsia"/>
          <w:b/>
          <w:bCs/>
          <w:i/>
          <w:iCs/>
          <w:lang w:val="en-US" w:eastAsia="zh-CN"/>
        </w:rPr>
        <w:t>- both PC3 and PC2 should be considered</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color w:val="auto"/>
          <w:kern w:val="2"/>
          <w:sz w:val="20"/>
          <w:szCs w:val="20"/>
          <w:highlight w:val="none"/>
          <w:lang w:val="en-US" w:eastAsia="zh-CN" w:bidi="ar-SA"/>
        </w:rPr>
      </w:pPr>
      <w:r>
        <w:rPr>
          <w:rFonts w:hint="eastAsia" w:cs="Times New Roman"/>
          <w:b/>
          <w:bCs/>
          <w:i/>
          <w:iCs/>
          <w:color w:val="auto"/>
          <w:kern w:val="2"/>
          <w:sz w:val="20"/>
          <w:szCs w:val="20"/>
          <w:highlight w:val="none"/>
          <w:lang w:val="en-US" w:eastAsia="zh-CN" w:bidi="ar-SA"/>
        </w:rPr>
        <w:t>Proposal 3. The existing ACS level should be maintained when reducing the Rx chain number.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color w:val="auto"/>
          <w:kern w:val="2"/>
          <w:sz w:val="20"/>
          <w:szCs w:val="20"/>
          <w:highlight w:val="none"/>
          <w:lang w:val="en-US" w:eastAsia="zh-CN" w:bidi="ar-SA"/>
        </w:rPr>
      </w:pPr>
      <w:r>
        <w:rPr>
          <w:rFonts w:hint="eastAsia" w:cs="Times New Roman"/>
          <w:b/>
          <w:bCs/>
          <w:i/>
          <w:iCs/>
          <w:color w:val="auto"/>
          <w:kern w:val="2"/>
          <w:sz w:val="20"/>
          <w:szCs w:val="20"/>
          <w:highlight w:val="none"/>
          <w:lang w:val="en-US" w:eastAsia="zh-CN" w:bidi="ar-SA"/>
        </w:rPr>
        <w:t>Proposal 4: To adopt up to -25dBm interferer power for fragments ACS requirements.</w:t>
      </w:r>
    </w:p>
    <w:p>
      <w:pPr>
        <w:keepNext/>
        <w:keepLines/>
        <w:pageBreakBefore w:val="0"/>
        <w:widowControl w:val="0"/>
        <w:suppressLineNumbers w:val="0"/>
        <w:kinsoku/>
        <w:wordWrap/>
        <w:topLinePunct w:val="0"/>
        <w:bidi w:val="0"/>
        <w:snapToGrid/>
        <w:jc w:val="left"/>
        <w:rPr>
          <w:rFonts w:hint="default" w:cs="Times New Roman"/>
          <w:b/>
          <w:bCs/>
          <w:i/>
          <w:iCs/>
          <w:color w:val="auto"/>
          <w:kern w:val="2"/>
          <w:sz w:val="20"/>
          <w:szCs w:val="20"/>
          <w:highlight w:val="none"/>
          <w:lang w:val="en-US" w:eastAsia="zh-CN" w:bidi="ar-SA"/>
        </w:rPr>
      </w:pPr>
      <w:r>
        <w:rPr>
          <w:rFonts w:hint="eastAsia" w:cs="Times New Roman"/>
          <w:b/>
          <w:bCs/>
          <w:i/>
          <w:iCs/>
          <w:kern w:val="0"/>
          <w:sz w:val="20"/>
          <w:szCs w:val="20"/>
          <w:highlight w:val="none"/>
          <w:lang w:val="en-US" w:eastAsia="zh-CN"/>
        </w:rPr>
        <w:t xml:space="preserve">Proposal 5: For the in-band gap test, </w:t>
      </w:r>
      <w:r>
        <w:rPr>
          <w:rFonts w:hint="eastAsia"/>
          <w:b/>
          <w:bCs/>
          <w:i/>
          <w:iCs/>
          <w:lang w:val="en-US" w:eastAsia="zh-CN"/>
        </w:rPr>
        <w:t>the existing conditions of the Wgap shall be also applied for the shared RF chain.</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"file:///D:\\RAN4%23112\\Docs\\R4-2412827.zip" </w:instrText>
      </w:r>
      <w:r>
        <w:rPr>
          <w:rFonts w:hint="eastAsia"/>
          <w:sz w:val="20"/>
          <w:szCs w:val="20"/>
          <w:lang w:val="en-US" w:eastAsia="zh-CN"/>
        </w:rPr>
        <w:fldChar w:fldCharType="separate"/>
      </w:r>
      <w:r>
        <w:rPr>
          <w:rFonts w:hint="eastAsia"/>
          <w:sz w:val="20"/>
          <w:szCs w:val="20"/>
          <w:lang w:val="en-US" w:eastAsia="zh-CN"/>
        </w:rPr>
        <w:t>R4-2412827</w:t>
      </w:r>
      <w:r>
        <w:rPr>
          <w:rFonts w:hint="eastAsia"/>
          <w:sz w:val="20"/>
          <w:szCs w:val="20"/>
          <w:lang w:val="en-US" w:eastAsia="zh-CN"/>
        </w:rPr>
        <w:fldChar w:fldCharType="end"/>
      </w:r>
      <w:r>
        <w:rPr>
          <w:rFonts w:hint="eastAsia"/>
          <w:sz w:val="20"/>
          <w:szCs w:val="20"/>
          <w:lang w:val="en-US" w:eastAsia="zh-CN"/>
        </w:rPr>
        <w:t>, Topic summary for [112][125] FS_NR_DL_Frag_Carrier, Mediatek</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"http://10.10.10.10/ftp/RAN/RAN4/Inbox/R4-2414457.zip" </w:instrText>
      </w:r>
      <w:r>
        <w:rPr>
          <w:rFonts w:hint="eastAsia"/>
          <w:sz w:val="20"/>
          <w:szCs w:val="20"/>
          <w:lang w:val="en-US" w:eastAsia="en-GB"/>
        </w:rPr>
        <w:fldChar w:fldCharType="separate"/>
      </w:r>
      <w:r>
        <w:rPr>
          <w:rFonts w:hint="eastAsia"/>
          <w:sz w:val="20"/>
          <w:szCs w:val="20"/>
          <w:lang w:val="en-US" w:eastAsia="en-GB"/>
        </w:rPr>
        <w:t>R4-2414457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fragmented DL</w:t>
      </w:r>
      <w:r>
        <w:rPr>
          <w:rFonts w:hint="eastAsia"/>
          <w:sz w:val="20"/>
          <w:szCs w:val="20"/>
          <w:lang w:val="en-US" w:eastAsia="zh-CN"/>
        </w:rPr>
        <w:t>, Mediatek</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eastAsia" w:ascii="Times New Roman" w:hAnsi="Times New Roman" w:cs="Times New Roman"/>
          <w:b w:val="0"/>
          <w:sz w:val="20"/>
          <w:szCs w:val="20"/>
          <w:lang w:val="en-US" w:eastAsia="zh-CN"/>
        </w:rPr>
        <w:t xml:space="preserve">R4-2411886, </w:t>
      </w:r>
      <w:r>
        <w:rPr>
          <w:rFonts w:hint="eastAsia" w:ascii="Times New Roman" w:hAnsi="Times New Roman"/>
          <w:b w:val="0"/>
          <w:sz w:val="20"/>
          <w:lang w:val="en-US" w:eastAsia="zh-CN"/>
        </w:rPr>
        <w:t xml:space="preserve">View on Fragmented carrier, </w:t>
      </w:r>
      <w:r>
        <w:rPr>
          <w:rFonts w:hint="eastAsia"/>
          <w:b w:val="0"/>
          <w:sz w:val="20"/>
        </w:rPr>
        <w:t>ZTE</w:t>
      </w:r>
      <w:r>
        <w:rPr>
          <w:rFonts w:hint="eastAsia"/>
          <w:b w:val="0"/>
          <w:sz w:val="20"/>
          <w:lang w:val="en-US" w:eastAsia="zh-CN"/>
        </w:rPr>
        <w:t xml:space="preserve"> Corporation, Sanechips</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b w:val="0"/>
          <w:sz w:val="20"/>
          <w:lang w:val="en-US" w:eastAsia="zh-CN"/>
        </w:rPr>
      </w:pPr>
      <w:r>
        <w:rPr>
          <w:rFonts w:hint="eastAsia"/>
          <w:b w:val="0"/>
          <w:sz w:val="20"/>
          <w:lang w:val="en-US" w:eastAsia="zh-CN"/>
        </w:rPr>
        <w:t xml:space="preserve">[4]  </w:t>
      </w:r>
      <w:r>
        <w:rPr>
          <w:rFonts w:hint="eastAsia" w:ascii="Times New Roman" w:hAnsi="Times New Roman"/>
          <w:b w:val="0"/>
          <w:sz w:val="20"/>
          <w:lang w:val="en-US" w:eastAsia="zh-CN"/>
        </w:rPr>
        <w:t>R4-2413271, Discusson on impact on UE RF requirement of fragmented carriers,Ericsson</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beforeLines="0" w:afterLines="0" w:line="240" w:lineRule="auto"/>
        <w:jc w:val="left"/>
        <w:textAlignment w:val="auto"/>
        <w:rPr>
          <w:highlight w:val="none"/>
        </w:rPr>
      </w:pPr>
    </w:p>
    <w:sectPr>
      <w:headerReference r:id="rId9" w:type="first"/>
      <w:footerReference r:id="rId12" w:type="first"/>
      <w:headerReference r:id="rId7" w:type="default"/>
      <w:footerReference r:id="rId10" w:type="default"/>
      <w:headerReference r:id="rId8" w:type="even"/>
      <w:footerReference r:id="rId11"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Zhou Du" w:date="2024-08-22T14:53:00Z" w:initials="Z">
    <w:p w14:paraId="14317FEF">
      <w:r>
        <w:t>This is the first meeting, discussion on whether or not to have new requirements has not yet started. Therefore we prefer to delete this from the recommended WF.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4317F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3"/>
      <w:numFmt w:val="bullet"/>
      <w:lvlText w:val="-"/>
      <w:lvlJc w:val="left"/>
      <w:pPr>
        <w:ind w:left="1776" w:hanging="480"/>
      </w:pPr>
      <w:rPr>
        <w:rFonts w:hint="default" w:ascii="Times New Roman" w:hAnsi="Times New Roman" w:cs="Times New Roman" w:eastAsiaTheme="minorEastAsia"/>
        <w:lang w:val="en-GB"/>
      </w:rPr>
    </w:lvl>
    <w:lvl w:ilvl="2" w:tentative="0">
      <w:start w:val="3"/>
      <w:numFmt w:val="bullet"/>
      <w:lvlText w:val="-"/>
      <w:lvlJc w:val="left"/>
      <w:pPr>
        <w:ind w:left="2496" w:hanging="480"/>
      </w:pPr>
      <w:rPr>
        <w:rFonts w:hint="default" w:ascii="Times New Roman" w:hAnsi="Times New Roman" w:cs="Times New Roman" w:eastAsiaTheme="minorEastAsia"/>
        <w:lang w:val="en-GB"/>
      </w:rPr>
    </w:lvl>
    <w:lvl w:ilvl="3" w:tentative="0">
      <w:start w:val="5"/>
      <w:numFmt w:val="bullet"/>
      <w:lvlText w:val="-"/>
      <w:lvlJc w:val="left"/>
      <w:pPr>
        <w:ind w:left="3216" w:hanging="480"/>
      </w:pPr>
      <w:rPr>
        <w:rFonts w:hint="default" w:ascii="Times New Roman" w:hAnsi="Times New Roman" w:eastAsia="Times New Roman"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9085B"/>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135C"/>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9651E"/>
    <w:rsid w:val="014A0623"/>
    <w:rsid w:val="014C67F3"/>
    <w:rsid w:val="01500585"/>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F6D4C"/>
    <w:rsid w:val="0291553A"/>
    <w:rsid w:val="029A69A7"/>
    <w:rsid w:val="029B04E7"/>
    <w:rsid w:val="02A64DF3"/>
    <w:rsid w:val="02BB5A8C"/>
    <w:rsid w:val="02C2332C"/>
    <w:rsid w:val="02DC3F9C"/>
    <w:rsid w:val="02DC73AA"/>
    <w:rsid w:val="02E015BB"/>
    <w:rsid w:val="02F12CE4"/>
    <w:rsid w:val="02F20765"/>
    <w:rsid w:val="0300135A"/>
    <w:rsid w:val="03073BDC"/>
    <w:rsid w:val="030B0647"/>
    <w:rsid w:val="030C40C1"/>
    <w:rsid w:val="03151C1F"/>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3FB2E40"/>
    <w:rsid w:val="04030035"/>
    <w:rsid w:val="04171DC7"/>
    <w:rsid w:val="04251A4C"/>
    <w:rsid w:val="042D2E97"/>
    <w:rsid w:val="042E7379"/>
    <w:rsid w:val="04305EA0"/>
    <w:rsid w:val="043865BF"/>
    <w:rsid w:val="044C78D8"/>
    <w:rsid w:val="04537B11"/>
    <w:rsid w:val="0457028C"/>
    <w:rsid w:val="04587CAC"/>
    <w:rsid w:val="04684A28"/>
    <w:rsid w:val="04685237"/>
    <w:rsid w:val="04782230"/>
    <w:rsid w:val="0479507E"/>
    <w:rsid w:val="04820023"/>
    <w:rsid w:val="048859D4"/>
    <w:rsid w:val="04894975"/>
    <w:rsid w:val="04B14B03"/>
    <w:rsid w:val="04B93BF5"/>
    <w:rsid w:val="04BA44DF"/>
    <w:rsid w:val="04C21954"/>
    <w:rsid w:val="04DA1A87"/>
    <w:rsid w:val="04DE2DA3"/>
    <w:rsid w:val="04ED134B"/>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770104"/>
    <w:rsid w:val="057D1D66"/>
    <w:rsid w:val="058E2C68"/>
    <w:rsid w:val="059D265F"/>
    <w:rsid w:val="05A466AB"/>
    <w:rsid w:val="05B245FF"/>
    <w:rsid w:val="05B2756C"/>
    <w:rsid w:val="05B92EC1"/>
    <w:rsid w:val="05D03328"/>
    <w:rsid w:val="05D73593"/>
    <w:rsid w:val="05E078B3"/>
    <w:rsid w:val="05ED0640"/>
    <w:rsid w:val="0601277E"/>
    <w:rsid w:val="060B1D8E"/>
    <w:rsid w:val="060C5AED"/>
    <w:rsid w:val="060F2B65"/>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C21FB4"/>
    <w:rsid w:val="07D57946"/>
    <w:rsid w:val="07ED524D"/>
    <w:rsid w:val="080124E3"/>
    <w:rsid w:val="080C7FA0"/>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916DF"/>
    <w:rsid w:val="08FC0AA5"/>
    <w:rsid w:val="090165D1"/>
    <w:rsid w:val="09066782"/>
    <w:rsid w:val="090F4430"/>
    <w:rsid w:val="09127E2C"/>
    <w:rsid w:val="091619F5"/>
    <w:rsid w:val="09306537"/>
    <w:rsid w:val="09355076"/>
    <w:rsid w:val="09392119"/>
    <w:rsid w:val="09445E95"/>
    <w:rsid w:val="09543B3B"/>
    <w:rsid w:val="09600FBD"/>
    <w:rsid w:val="096D0983"/>
    <w:rsid w:val="096D5B06"/>
    <w:rsid w:val="096F346B"/>
    <w:rsid w:val="098143BC"/>
    <w:rsid w:val="09A64164"/>
    <w:rsid w:val="09AB6505"/>
    <w:rsid w:val="09B236ED"/>
    <w:rsid w:val="09B3627A"/>
    <w:rsid w:val="09BD407A"/>
    <w:rsid w:val="09DA0E26"/>
    <w:rsid w:val="09E5569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77E0"/>
    <w:rsid w:val="0AA85D4C"/>
    <w:rsid w:val="0AC0212C"/>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D0037"/>
    <w:rsid w:val="0B7B7DE4"/>
    <w:rsid w:val="0B8436DD"/>
    <w:rsid w:val="0B847B39"/>
    <w:rsid w:val="0B965B25"/>
    <w:rsid w:val="0B9E71DF"/>
    <w:rsid w:val="0BB524B8"/>
    <w:rsid w:val="0BBB69E7"/>
    <w:rsid w:val="0BBC02F5"/>
    <w:rsid w:val="0BC13973"/>
    <w:rsid w:val="0BC22C8E"/>
    <w:rsid w:val="0BC63DB2"/>
    <w:rsid w:val="0BCA64FF"/>
    <w:rsid w:val="0BCC4043"/>
    <w:rsid w:val="0BCC4B6A"/>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DE4E9F"/>
    <w:rsid w:val="0CE26C42"/>
    <w:rsid w:val="0CE76B48"/>
    <w:rsid w:val="0CF62FDB"/>
    <w:rsid w:val="0CFB523A"/>
    <w:rsid w:val="0D0165D4"/>
    <w:rsid w:val="0D107D53"/>
    <w:rsid w:val="0D226E9B"/>
    <w:rsid w:val="0D3F09CA"/>
    <w:rsid w:val="0D4B44A1"/>
    <w:rsid w:val="0D5A3E80"/>
    <w:rsid w:val="0D6E2620"/>
    <w:rsid w:val="0D704E21"/>
    <w:rsid w:val="0D7F48FE"/>
    <w:rsid w:val="0D824417"/>
    <w:rsid w:val="0D883C88"/>
    <w:rsid w:val="0D92310D"/>
    <w:rsid w:val="0D960D3E"/>
    <w:rsid w:val="0D966BF7"/>
    <w:rsid w:val="0DB94177"/>
    <w:rsid w:val="0DCC3AE8"/>
    <w:rsid w:val="0DD87842"/>
    <w:rsid w:val="0DDC2D34"/>
    <w:rsid w:val="0DE103EB"/>
    <w:rsid w:val="0DF202E1"/>
    <w:rsid w:val="0DF53CE3"/>
    <w:rsid w:val="0E0961C5"/>
    <w:rsid w:val="0E131C69"/>
    <w:rsid w:val="0E147898"/>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B3FA4"/>
    <w:rsid w:val="0EB12800"/>
    <w:rsid w:val="0EBA15CD"/>
    <w:rsid w:val="0EC1579C"/>
    <w:rsid w:val="0ECA331A"/>
    <w:rsid w:val="0ECB4993"/>
    <w:rsid w:val="0ECD6CC6"/>
    <w:rsid w:val="0ED01D5F"/>
    <w:rsid w:val="0ED50DDE"/>
    <w:rsid w:val="0ED81E9F"/>
    <w:rsid w:val="0EDC0FE7"/>
    <w:rsid w:val="0EDD1744"/>
    <w:rsid w:val="0EE525BE"/>
    <w:rsid w:val="0EEC6F1D"/>
    <w:rsid w:val="0EFE0728"/>
    <w:rsid w:val="0F0229D0"/>
    <w:rsid w:val="0F040FDD"/>
    <w:rsid w:val="0F103291"/>
    <w:rsid w:val="0F18065D"/>
    <w:rsid w:val="0F1D498B"/>
    <w:rsid w:val="0F337178"/>
    <w:rsid w:val="0F3A1695"/>
    <w:rsid w:val="0F41022A"/>
    <w:rsid w:val="0F476F1A"/>
    <w:rsid w:val="0F575BC9"/>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D70565"/>
    <w:rsid w:val="0FEC680C"/>
    <w:rsid w:val="0FF009CF"/>
    <w:rsid w:val="0FFD5040"/>
    <w:rsid w:val="10007AD6"/>
    <w:rsid w:val="100E19D0"/>
    <w:rsid w:val="101C4A03"/>
    <w:rsid w:val="101D0C86"/>
    <w:rsid w:val="101D4F1D"/>
    <w:rsid w:val="10227809"/>
    <w:rsid w:val="10240BF3"/>
    <w:rsid w:val="103A2BF2"/>
    <w:rsid w:val="104A023B"/>
    <w:rsid w:val="10505F3B"/>
    <w:rsid w:val="105523FF"/>
    <w:rsid w:val="105D5531"/>
    <w:rsid w:val="1061732E"/>
    <w:rsid w:val="106D2686"/>
    <w:rsid w:val="106F0E5F"/>
    <w:rsid w:val="107A10FC"/>
    <w:rsid w:val="107C3E2C"/>
    <w:rsid w:val="107D41AE"/>
    <w:rsid w:val="108C2479"/>
    <w:rsid w:val="109A6911"/>
    <w:rsid w:val="10A81377"/>
    <w:rsid w:val="10B80E65"/>
    <w:rsid w:val="10C02B10"/>
    <w:rsid w:val="10C715C5"/>
    <w:rsid w:val="10D335EF"/>
    <w:rsid w:val="10E746EA"/>
    <w:rsid w:val="10E83FE0"/>
    <w:rsid w:val="10EC3168"/>
    <w:rsid w:val="10F52718"/>
    <w:rsid w:val="110B6252"/>
    <w:rsid w:val="110E6D34"/>
    <w:rsid w:val="1116627D"/>
    <w:rsid w:val="112E3E1C"/>
    <w:rsid w:val="112F02E7"/>
    <w:rsid w:val="114028DC"/>
    <w:rsid w:val="116A5175"/>
    <w:rsid w:val="116F1EB0"/>
    <w:rsid w:val="11765ED8"/>
    <w:rsid w:val="117B1D6A"/>
    <w:rsid w:val="117C2D9D"/>
    <w:rsid w:val="117F159E"/>
    <w:rsid w:val="11821DC9"/>
    <w:rsid w:val="118273C5"/>
    <w:rsid w:val="118616F9"/>
    <w:rsid w:val="11921373"/>
    <w:rsid w:val="119C45DF"/>
    <w:rsid w:val="119D7849"/>
    <w:rsid w:val="11A61449"/>
    <w:rsid w:val="11B423B2"/>
    <w:rsid w:val="11C67B8F"/>
    <w:rsid w:val="11CE017F"/>
    <w:rsid w:val="11DD31CB"/>
    <w:rsid w:val="11E57D4F"/>
    <w:rsid w:val="11F92DAB"/>
    <w:rsid w:val="11FC38D5"/>
    <w:rsid w:val="12035CB0"/>
    <w:rsid w:val="1210682D"/>
    <w:rsid w:val="121563D9"/>
    <w:rsid w:val="122449D0"/>
    <w:rsid w:val="1228675B"/>
    <w:rsid w:val="12286C59"/>
    <w:rsid w:val="122C5C28"/>
    <w:rsid w:val="123800F8"/>
    <w:rsid w:val="123A05DB"/>
    <w:rsid w:val="124240B9"/>
    <w:rsid w:val="1243122A"/>
    <w:rsid w:val="12531C9B"/>
    <w:rsid w:val="12561BF0"/>
    <w:rsid w:val="125A117D"/>
    <w:rsid w:val="12680E73"/>
    <w:rsid w:val="127701EE"/>
    <w:rsid w:val="127E5AA6"/>
    <w:rsid w:val="128071C7"/>
    <w:rsid w:val="12863E8D"/>
    <w:rsid w:val="12893E38"/>
    <w:rsid w:val="128B2749"/>
    <w:rsid w:val="12971339"/>
    <w:rsid w:val="129811DB"/>
    <w:rsid w:val="1299232C"/>
    <w:rsid w:val="12AB7A32"/>
    <w:rsid w:val="12AE5F35"/>
    <w:rsid w:val="12B465F3"/>
    <w:rsid w:val="12BB6535"/>
    <w:rsid w:val="12BF5B84"/>
    <w:rsid w:val="12C54464"/>
    <w:rsid w:val="12C7312B"/>
    <w:rsid w:val="12CA5219"/>
    <w:rsid w:val="12D14417"/>
    <w:rsid w:val="12D20C30"/>
    <w:rsid w:val="12D22971"/>
    <w:rsid w:val="12D85654"/>
    <w:rsid w:val="12DA5D22"/>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7266E0"/>
    <w:rsid w:val="13A938D2"/>
    <w:rsid w:val="13AA5FA1"/>
    <w:rsid w:val="13B11FB5"/>
    <w:rsid w:val="13BC2BD3"/>
    <w:rsid w:val="13C20262"/>
    <w:rsid w:val="13C36EB4"/>
    <w:rsid w:val="13D011ED"/>
    <w:rsid w:val="13D024B3"/>
    <w:rsid w:val="13D115EF"/>
    <w:rsid w:val="13D86A45"/>
    <w:rsid w:val="13DD445E"/>
    <w:rsid w:val="13DE4A69"/>
    <w:rsid w:val="13FD073F"/>
    <w:rsid w:val="140171D9"/>
    <w:rsid w:val="1405674E"/>
    <w:rsid w:val="140815BB"/>
    <w:rsid w:val="14087FC1"/>
    <w:rsid w:val="14095006"/>
    <w:rsid w:val="141E583B"/>
    <w:rsid w:val="1424615D"/>
    <w:rsid w:val="142C143A"/>
    <w:rsid w:val="144039D1"/>
    <w:rsid w:val="144A1DD6"/>
    <w:rsid w:val="144A28D0"/>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15004B"/>
    <w:rsid w:val="15207BBA"/>
    <w:rsid w:val="152E361E"/>
    <w:rsid w:val="152F4E1B"/>
    <w:rsid w:val="153E164C"/>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C444D"/>
    <w:rsid w:val="168F69F2"/>
    <w:rsid w:val="16916CB7"/>
    <w:rsid w:val="169C7FDE"/>
    <w:rsid w:val="16A4319F"/>
    <w:rsid w:val="16AC4DDB"/>
    <w:rsid w:val="16AE2FE3"/>
    <w:rsid w:val="16B4400E"/>
    <w:rsid w:val="16BB694C"/>
    <w:rsid w:val="16BD0D3D"/>
    <w:rsid w:val="16BD5355"/>
    <w:rsid w:val="16C739DF"/>
    <w:rsid w:val="16D614D6"/>
    <w:rsid w:val="16DD3B26"/>
    <w:rsid w:val="16EB6E00"/>
    <w:rsid w:val="16F1492D"/>
    <w:rsid w:val="16F9473B"/>
    <w:rsid w:val="16FD2447"/>
    <w:rsid w:val="1707609C"/>
    <w:rsid w:val="170A651D"/>
    <w:rsid w:val="1712339A"/>
    <w:rsid w:val="171B5478"/>
    <w:rsid w:val="171E63FC"/>
    <w:rsid w:val="1722504D"/>
    <w:rsid w:val="172562BF"/>
    <w:rsid w:val="17276DF4"/>
    <w:rsid w:val="1738730F"/>
    <w:rsid w:val="173B2DD6"/>
    <w:rsid w:val="17416499"/>
    <w:rsid w:val="17481B81"/>
    <w:rsid w:val="175007ED"/>
    <w:rsid w:val="17536547"/>
    <w:rsid w:val="175A036D"/>
    <w:rsid w:val="176B45C6"/>
    <w:rsid w:val="176C447F"/>
    <w:rsid w:val="17761009"/>
    <w:rsid w:val="17875303"/>
    <w:rsid w:val="1793626E"/>
    <w:rsid w:val="17A875F5"/>
    <w:rsid w:val="17AD27E8"/>
    <w:rsid w:val="17B73278"/>
    <w:rsid w:val="17B92501"/>
    <w:rsid w:val="17D47866"/>
    <w:rsid w:val="17E66DD8"/>
    <w:rsid w:val="17E677E9"/>
    <w:rsid w:val="17E84839"/>
    <w:rsid w:val="17EE1403"/>
    <w:rsid w:val="17F25234"/>
    <w:rsid w:val="17FD061B"/>
    <w:rsid w:val="17FF6314"/>
    <w:rsid w:val="18005F41"/>
    <w:rsid w:val="18025414"/>
    <w:rsid w:val="18171305"/>
    <w:rsid w:val="18324C3F"/>
    <w:rsid w:val="18334194"/>
    <w:rsid w:val="183E1D37"/>
    <w:rsid w:val="184D0787"/>
    <w:rsid w:val="185D1883"/>
    <w:rsid w:val="18615557"/>
    <w:rsid w:val="18702224"/>
    <w:rsid w:val="18812331"/>
    <w:rsid w:val="18816F1C"/>
    <w:rsid w:val="18825229"/>
    <w:rsid w:val="18853F3E"/>
    <w:rsid w:val="188A0A21"/>
    <w:rsid w:val="18917614"/>
    <w:rsid w:val="18956393"/>
    <w:rsid w:val="1896279D"/>
    <w:rsid w:val="18A8582C"/>
    <w:rsid w:val="18B50543"/>
    <w:rsid w:val="18CD7A02"/>
    <w:rsid w:val="18D97A56"/>
    <w:rsid w:val="18DC65B5"/>
    <w:rsid w:val="18F621ED"/>
    <w:rsid w:val="19001FFC"/>
    <w:rsid w:val="190E2B4A"/>
    <w:rsid w:val="19147620"/>
    <w:rsid w:val="19256D7A"/>
    <w:rsid w:val="193275C2"/>
    <w:rsid w:val="19394FD2"/>
    <w:rsid w:val="193E37E1"/>
    <w:rsid w:val="194B2B2B"/>
    <w:rsid w:val="195B59A7"/>
    <w:rsid w:val="195F3A6C"/>
    <w:rsid w:val="19663168"/>
    <w:rsid w:val="19702E18"/>
    <w:rsid w:val="19767855"/>
    <w:rsid w:val="19786B0A"/>
    <w:rsid w:val="198F74A6"/>
    <w:rsid w:val="199A2059"/>
    <w:rsid w:val="19A40C28"/>
    <w:rsid w:val="19B46E10"/>
    <w:rsid w:val="19B96604"/>
    <w:rsid w:val="19C456C1"/>
    <w:rsid w:val="19C64218"/>
    <w:rsid w:val="19F061A1"/>
    <w:rsid w:val="1A020598"/>
    <w:rsid w:val="1A054259"/>
    <w:rsid w:val="1A081816"/>
    <w:rsid w:val="1A165171"/>
    <w:rsid w:val="1A242823"/>
    <w:rsid w:val="1A2729ED"/>
    <w:rsid w:val="1A4858FF"/>
    <w:rsid w:val="1A4C698A"/>
    <w:rsid w:val="1A5E4B5A"/>
    <w:rsid w:val="1A672B1C"/>
    <w:rsid w:val="1A6B5B6C"/>
    <w:rsid w:val="1A7A3787"/>
    <w:rsid w:val="1A8301C0"/>
    <w:rsid w:val="1A872248"/>
    <w:rsid w:val="1A944052"/>
    <w:rsid w:val="1A9B2279"/>
    <w:rsid w:val="1A9E2B36"/>
    <w:rsid w:val="1A9E6232"/>
    <w:rsid w:val="1AA74D3D"/>
    <w:rsid w:val="1AB34DB4"/>
    <w:rsid w:val="1AB613FD"/>
    <w:rsid w:val="1AB745F7"/>
    <w:rsid w:val="1AC04FC0"/>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60AC2"/>
    <w:rsid w:val="1B9C269A"/>
    <w:rsid w:val="1B9E64C5"/>
    <w:rsid w:val="1BBE493C"/>
    <w:rsid w:val="1BC01115"/>
    <w:rsid w:val="1BC22D85"/>
    <w:rsid w:val="1BC36606"/>
    <w:rsid w:val="1BC44015"/>
    <w:rsid w:val="1BCA6284"/>
    <w:rsid w:val="1BEF054D"/>
    <w:rsid w:val="1BF006BF"/>
    <w:rsid w:val="1C013494"/>
    <w:rsid w:val="1C053414"/>
    <w:rsid w:val="1C0C6675"/>
    <w:rsid w:val="1C132CB9"/>
    <w:rsid w:val="1C1B4E8D"/>
    <w:rsid w:val="1C273D33"/>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A4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EA29EF"/>
    <w:rsid w:val="1CF03A17"/>
    <w:rsid w:val="1CF34BDB"/>
    <w:rsid w:val="1D037029"/>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D32F44"/>
    <w:rsid w:val="1DE94164"/>
    <w:rsid w:val="1DE94821"/>
    <w:rsid w:val="1DEA459C"/>
    <w:rsid w:val="1DEE1B11"/>
    <w:rsid w:val="1DEE780F"/>
    <w:rsid w:val="1E164B52"/>
    <w:rsid w:val="1E273844"/>
    <w:rsid w:val="1E2B6CB1"/>
    <w:rsid w:val="1E2F243E"/>
    <w:rsid w:val="1E455D19"/>
    <w:rsid w:val="1E55213F"/>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304B38"/>
    <w:rsid w:val="1F4E511E"/>
    <w:rsid w:val="1F4F2219"/>
    <w:rsid w:val="1F5B6C59"/>
    <w:rsid w:val="1F700D6A"/>
    <w:rsid w:val="1F721405"/>
    <w:rsid w:val="1F852C7F"/>
    <w:rsid w:val="1F887E80"/>
    <w:rsid w:val="1F890B2F"/>
    <w:rsid w:val="1F935819"/>
    <w:rsid w:val="1F9C71E1"/>
    <w:rsid w:val="1FA6556D"/>
    <w:rsid w:val="1FA92D3B"/>
    <w:rsid w:val="1FAE408D"/>
    <w:rsid w:val="1FAF2571"/>
    <w:rsid w:val="1FC55EDA"/>
    <w:rsid w:val="1FCE593C"/>
    <w:rsid w:val="1FE312AC"/>
    <w:rsid w:val="1FEC5915"/>
    <w:rsid w:val="1FED32EF"/>
    <w:rsid w:val="201E3878"/>
    <w:rsid w:val="2030431E"/>
    <w:rsid w:val="20350C87"/>
    <w:rsid w:val="20446081"/>
    <w:rsid w:val="204852AD"/>
    <w:rsid w:val="204E6676"/>
    <w:rsid w:val="205A5AA0"/>
    <w:rsid w:val="20773A28"/>
    <w:rsid w:val="208574F4"/>
    <w:rsid w:val="208E0979"/>
    <w:rsid w:val="208F6BAF"/>
    <w:rsid w:val="209C24BD"/>
    <w:rsid w:val="20A462BA"/>
    <w:rsid w:val="20A976E7"/>
    <w:rsid w:val="20AB4ADC"/>
    <w:rsid w:val="20AC7E9E"/>
    <w:rsid w:val="20BB50D0"/>
    <w:rsid w:val="20BF2AAC"/>
    <w:rsid w:val="20C849C7"/>
    <w:rsid w:val="20D07F44"/>
    <w:rsid w:val="20D564EE"/>
    <w:rsid w:val="20DF66D2"/>
    <w:rsid w:val="20E976FD"/>
    <w:rsid w:val="20EC3F2E"/>
    <w:rsid w:val="20EC7C3E"/>
    <w:rsid w:val="210548E9"/>
    <w:rsid w:val="2107210D"/>
    <w:rsid w:val="21124D15"/>
    <w:rsid w:val="21296345"/>
    <w:rsid w:val="213E4D66"/>
    <w:rsid w:val="213E7119"/>
    <w:rsid w:val="21800B85"/>
    <w:rsid w:val="21810744"/>
    <w:rsid w:val="218D6EF5"/>
    <w:rsid w:val="2195668B"/>
    <w:rsid w:val="21962BB3"/>
    <w:rsid w:val="219D0E63"/>
    <w:rsid w:val="21A130EA"/>
    <w:rsid w:val="21A64442"/>
    <w:rsid w:val="21B222BC"/>
    <w:rsid w:val="21BD09D7"/>
    <w:rsid w:val="21C267BF"/>
    <w:rsid w:val="21CD6BCD"/>
    <w:rsid w:val="21CE6067"/>
    <w:rsid w:val="21CF439A"/>
    <w:rsid w:val="21E74206"/>
    <w:rsid w:val="21ED3089"/>
    <w:rsid w:val="21EF1937"/>
    <w:rsid w:val="21F00127"/>
    <w:rsid w:val="22045B97"/>
    <w:rsid w:val="2218222D"/>
    <w:rsid w:val="221D2FA3"/>
    <w:rsid w:val="22247705"/>
    <w:rsid w:val="2226635F"/>
    <w:rsid w:val="222D4F0B"/>
    <w:rsid w:val="22355531"/>
    <w:rsid w:val="223D7545"/>
    <w:rsid w:val="22411D14"/>
    <w:rsid w:val="22423BE1"/>
    <w:rsid w:val="22454449"/>
    <w:rsid w:val="22500810"/>
    <w:rsid w:val="22550F14"/>
    <w:rsid w:val="226347BD"/>
    <w:rsid w:val="22682935"/>
    <w:rsid w:val="226F564C"/>
    <w:rsid w:val="22714CE9"/>
    <w:rsid w:val="2277260F"/>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4B15"/>
    <w:rsid w:val="23536618"/>
    <w:rsid w:val="236F5E31"/>
    <w:rsid w:val="236F7F8E"/>
    <w:rsid w:val="237D3B26"/>
    <w:rsid w:val="23816932"/>
    <w:rsid w:val="239642C9"/>
    <w:rsid w:val="23A22D26"/>
    <w:rsid w:val="23A9484E"/>
    <w:rsid w:val="23AF669C"/>
    <w:rsid w:val="23B32F98"/>
    <w:rsid w:val="23B84268"/>
    <w:rsid w:val="23BF53E4"/>
    <w:rsid w:val="23CA5246"/>
    <w:rsid w:val="23D03C50"/>
    <w:rsid w:val="23D17D7B"/>
    <w:rsid w:val="23D36D91"/>
    <w:rsid w:val="23D6056F"/>
    <w:rsid w:val="23DF4009"/>
    <w:rsid w:val="23EA25D3"/>
    <w:rsid w:val="23F70BA5"/>
    <w:rsid w:val="23F93D0D"/>
    <w:rsid w:val="2405417E"/>
    <w:rsid w:val="241B5C62"/>
    <w:rsid w:val="241D144D"/>
    <w:rsid w:val="242005F6"/>
    <w:rsid w:val="24553E8F"/>
    <w:rsid w:val="245872F9"/>
    <w:rsid w:val="245943D9"/>
    <w:rsid w:val="245D2237"/>
    <w:rsid w:val="245E6B64"/>
    <w:rsid w:val="2463385E"/>
    <w:rsid w:val="247B61EF"/>
    <w:rsid w:val="247F0848"/>
    <w:rsid w:val="248A1E01"/>
    <w:rsid w:val="24967323"/>
    <w:rsid w:val="249D5FC8"/>
    <w:rsid w:val="24A1538E"/>
    <w:rsid w:val="24A34F2A"/>
    <w:rsid w:val="24B9450F"/>
    <w:rsid w:val="24C83F94"/>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B49E0"/>
    <w:rsid w:val="253447F4"/>
    <w:rsid w:val="253A7D4E"/>
    <w:rsid w:val="253B247A"/>
    <w:rsid w:val="25544D4D"/>
    <w:rsid w:val="25655CFE"/>
    <w:rsid w:val="25734B61"/>
    <w:rsid w:val="257F0513"/>
    <w:rsid w:val="258F6BC4"/>
    <w:rsid w:val="25904C84"/>
    <w:rsid w:val="25975923"/>
    <w:rsid w:val="259A3D0A"/>
    <w:rsid w:val="25A13DE2"/>
    <w:rsid w:val="25A95F3E"/>
    <w:rsid w:val="25BC0664"/>
    <w:rsid w:val="25BD0013"/>
    <w:rsid w:val="25BF6041"/>
    <w:rsid w:val="25C35718"/>
    <w:rsid w:val="25C61809"/>
    <w:rsid w:val="25CF0252"/>
    <w:rsid w:val="25D0248E"/>
    <w:rsid w:val="25D52D1D"/>
    <w:rsid w:val="25F81D70"/>
    <w:rsid w:val="25FB5636"/>
    <w:rsid w:val="25FE58A9"/>
    <w:rsid w:val="26070462"/>
    <w:rsid w:val="260D2C45"/>
    <w:rsid w:val="26197DFF"/>
    <w:rsid w:val="262502D3"/>
    <w:rsid w:val="26283D73"/>
    <w:rsid w:val="262E1DA8"/>
    <w:rsid w:val="262F0AD0"/>
    <w:rsid w:val="26395C92"/>
    <w:rsid w:val="26484954"/>
    <w:rsid w:val="266237C3"/>
    <w:rsid w:val="266320C3"/>
    <w:rsid w:val="26651F80"/>
    <w:rsid w:val="26671392"/>
    <w:rsid w:val="267031B7"/>
    <w:rsid w:val="267310EA"/>
    <w:rsid w:val="267550B9"/>
    <w:rsid w:val="267A4B30"/>
    <w:rsid w:val="26B6759D"/>
    <w:rsid w:val="26C472EC"/>
    <w:rsid w:val="26D97CAE"/>
    <w:rsid w:val="26EC491A"/>
    <w:rsid w:val="26ED23F1"/>
    <w:rsid w:val="26ED73E1"/>
    <w:rsid w:val="27047832"/>
    <w:rsid w:val="27204B5D"/>
    <w:rsid w:val="272F31A0"/>
    <w:rsid w:val="27342901"/>
    <w:rsid w:val="27383740"/>
    <w:rsid w:val="273D2762"/>
    <w:rsid w:val="27470B72"/>
    <w:rsid w:val="274B1605"/>
    <w:rsid w:val="27525E32"/>
    <w:rsid w:val="275922F8"/>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1603B0"/>
    <w:rsid w:val="281F4F67"/>
    <w:rsid w:val="283105E9"/>
    <w:rsid w:val="28361BC3"/>
    <w:rsid w:val="283744B4"/>
    <w:rsid w:val="28485D62"/>
    <w:rsid w:val="285560D7"/>
    <w:rsid w:val="28760CA0"/>
    <w:rsid w:val="288A05DD"/>
    <w:rsid w:val="28937D89"/>
    <w:rsid w:val="28B00ECC"/>
    <w:rsid w:val="28C96C14"/>
    <w:rsid w:val="28E138E3"/>
    <w:rsid w:val="28E25FF0"/>
    <w:rsid w:val="28E74216"/>
    <w:rsid w:val="28E87EE4"/>
    <w:rsid w:val="28E9010A"/>
    <w:rsid w:val="28FC4395"/>
    <w:rsid w:val="2903396A"/>
    <w:rsid w:val="290A3B15"/>
    <w:rsid w:val="291C1880"/>
    <w:rsid w:val="29212936"/>
    <w:rsid w:val="294E766A"/>
    <w:rsid w:val="294F506D"/>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1640AA"/>
    <w:rsid w:val="2A23469B"/>
    <w:rsid w:val="2A35650F"/>
    <w:rsid w:val="2A405845"/>
    <w:rsid w:val="2A4D593F"/>
    <w:rsid w:val="2A5645FE"/>
    <w:rsid w:val="2A6920F5"/>
    <w:rsid w:val="2A6E31F8"/>
    <w:rsid w:val="2A8A2F9C"/>
    <w:rsid w:val="2A9A0A02"/>
    <w:rsid w:val="2AA077A9"/>
    <w:rsid w:val="2AA47476"/>
    <w:rsid w:val="2AA84680"/>
    <w:rsid w:val="2AA95326"/>
    <w:rsid w:val="2AAC5A06"/>
    <w:rsid w:val="2ABB3D6F"/>
    <w:rsid w:val="2AC70B30"/>
    <w:rsid w:val="2ACC2AAF"/>
    <w:rsid w:val="2ACF4B0A"/>
    <w:rsid w:val="2AD74744"/>
    <w:rsid w:val="2AD91AC2"/>
    <w:rsid w:val="2AE57C95"/>
    <w:rsid w:val="2AE84958"/>
    <w:rsid w:val="2AF35C8B"/>
    <w:rsid w:val="2AFC7C8A"/>
    <w:rsid w:val="2B011AE9"/>
    <w:rsid w:val="2B0279D1"/>
    <w:rsid w:val="2B132265"/>
    <w:rsid w:val="2B1D1F04"/>
    <w:rsid w:val="2B214776"/>
    <w:rsid w:val="2B2843BE"/>
    <w:rsid w:val="2B2C240A"/>
    <w:rsid w:val="2B2F475A"/>
    <w:rsid w:val="2B313FC1"/>
    <w:rsid w:val="2B347C14"/>
    <w:rsid w:val="2B39348E"/>
    <w:rsid w:val="2B431325"/>
    <w:rsid w:val="2B437285"/>
    <w:rsid w:val="2B4D695C"/>
    <w:rsid w:val="2B514803"/>
    <w:rsid w:val="2B637D4B"/>
    <w:rsid w:val="2B6B1684"/>
    <w:rsid w:val="2B7B70BF"/>
    <w:rsid w:val="2B8B422C"/>
    <w:rsid w:val="2B9B2B99"/>
    <w:rsid w:val="2BA07D38"/>
    <w:rsid w:val="2BB960F0"/>
    <w:rsid w:val="2BBE7FDE"/>
    <w:rsid w:val="2BC40957"/>
    <w:rsid w:val="2BCB5DAA"/>
    <w:rsid w:val="2BF369B9"/>
    <w:rsid w:val="2BF50F57"/>
    <w:rsid w:val="2BFA0958"/>
    <w:rsid w:val="2BFC0A4A"/>
    <w:rsid w:val="2C094904"/>
    <w:rsid w:val="2C0E55A1"/>
    <w:rsid w:val="2C2E7508"/>
    <w:rsid w:val="2C3658B0"/>
    <w:rsid w:val="2C3A7BF6"/>
    <w:rsid w:val="2C425BCE"/>
    <w:rsid w:val="2C44676A"/>
    <w:rsid w:val="2C4605C2"/>
    <w:rsid w:val="2C4A080C"/>
    <w:rsid w:val="2C54533B"/>
    <w:rsid w:val="2C591378"/>
    <w:rsid w:val="2C733DF1"/>
    <w:rsid w:val="2C892158"/>
    <w:rsid w:val="2C8F4862"/>
    <w:rsid w:val="2C983D35"/>
    <w:rsid w:val="2C9E5AC8"/>
    <w:rsid w:val="2CA2721B"/>
    <w:rsid w:val="2CB600FC"/>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765922"/>
    <w:rsid w:val="2D7C3EDE"/>
    <w:rsid w:val="2D892023"/>
    <w:rsid w:val="2D8A3FA2"/>
    <w:rsid w:val="2D925609"/>
    <w:rsid w:val="2D9767DC"/>
    <w:rsid w:val="2D980DDC"/>
    <w:rsid w:val="2D987372"/>
    <w:rsid w:val="2DA76CC9"/>
    <w:rsid w:val="2DC2086B"/>
    <w:rsid w:val="2DC35F89"/>
    <w:rsid w:val="2DCE26BE"/>
    <w:rsid w:val="2DCE5F69"/>
    <w:rsid w:val="2DD755E4"/>
    <w:rsid w:val="2DDD4F0A"/>
    <w:rsid w:val="2DED702C"/>
    <w:rsid w:val="2DF22567"/>
    <w:rsid w:val="2DF37ABF"/>
    <w:rsid w:val="2DF91EDD"/>
    <w:rsid w:val="2DF95234"/>
    <w:rsid w:val="2E031DA3"/>
    <w:rsid w:val="2E0E1FA1"/>
    <w:rsid w:val="2E134305"/>
    <w:rsid w:val="2E170B60"/>
    <w:rsid w:val="2E34792A"/>
    <w:rsid w:val="2E437E73"/>
    <w:rsid w:val="2E4F0E88"/>
    <w:rsid w:val="2E5034DC"/>
    <w:rsid w:val="2E572AB9"/>
    <w:rsid w:val="2E58199C"/>
    <w:rsid w:val="2E5A0B3B"/>
    <w:rsid w:val="2E7258DC"/>
    <w:rsid w:val="2E79458E"/>
    <w:rsid w:val="2E797A78"/>
    <w:rsid w:val="2E7C6A94"/>
    <w:rsid w:val="2E82542A"/>
    <w:rsid w:val="2E8321A5"/>
    <w:rsid w:val="2E8A404A"/>
    <w:rsid w:val="2E9F6D95"/>
    <w:rsid w:val="2EAE350B"/>
    <w:rsid w:val="2EB13C8A"/>
    <w:rsid w:val="2EB20A6C"/>
    <w:rsid w:val="2EBC2287"/>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400562"/>
    <w:rsid w:val="2F413F9F"/>
    <w:rsid w:val="2F44472E"/>
    <w:rsid w:val="2F444B61"/>
    <w:rsid w:val="2F484C94"/>
    <w:rsid w:val="2F4D49C0"/>
    <w:rsid w:val="2F4F6FBB"/>
    <w:rsid w:val="2F5E5B1E"/>
    <w:rsid w:val="2F664E2B"/>
    <w:rsid w:val="2F6C7BE3"/>
    <w:rsid w:val="2F783485"/>
    <w:rsid w:val="2F7F5C0B"/>
    <w:rsid w:val="2F95569B"/>
    <w:rsid w:val="2FA6492D"/>
    <w:rsid w:val="2FB829D9"/>
    <w:rsid w:val="2FBA036C"/>
    <w:rsid w:val="2FBA5EC5"/>
    <w:rsid w:val="2FC03DA0"/>
    <w:rsid w:val="2FC90C17"/>
    <w:rsid w:val="2FC972D2"/>
    <w:rsid w:val="2FD71CA4"/>
    <w:rsid w:val="2FDC6CBD"/>
    <w:rsid w:val="2FDD1BD8"/>
    <w:rsid w:val="2FE56F75"/>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916BB1"/>
    <w:rsid w:val="30962F3E"/>
    <w:rsid w:val="309F7453"/>
    <w:rsid w:val="30AA2585"/>
    <w:rsid w:val="30BE7DD7"/>
    <w:rsid w:val="30C16A19"/>
    <w:rsid w:val="30C72BF2"/>
    <w:rsid w:val="30CA4DB3"/>
    <w:rsid w:val="30D10F27"/>
    <w:rsid w:val="30D32236"/>
    <w:rsid w:val="30FA7530"/>
    <w:rsid w:val="30FF2795"/>
    <w:rsid w:val="310375CD"/>
    <w:rsid w:val="311611B3"/>
    <w:rsid w:val="31192C28"/>
    <w:rsid w:val="312A519F"/>
    <w:rsid w:val="313052DD"/>
    <w:rsid w:val="3132592D"/>
    <w:rsid w:val="313C313D"/>
    <w:rsid w:val="314E236F"/>
    <w:rsid w:val="315E0B07"/>
    <w:rsid w:val="31614403"/>
    <w:rsid w:val="31621F46"/>
    <w:rsid w:val="316E7CA0"/>
    <w:rsid w:val="317206BF"/>
    <w:rsid w:val="317932EA"/>
    <w:rsid w:val="317E5000"/>
    <w:rsid w:val="31AB40D1"/>
    <w:rsid w:val="31B718F2"/>
    <w:rsid w:val="31BC0C4A"/>
    <w:rsid w:val="31BD323E"/>
    <w:rsid w:val="31D20051"/>
    <w:rsid w:val="31EF7EE8"/>
    <w:rsid w:val="3201404F"/>
    <w:rsid w:val="320901F5"/>
    <w:rsid w:val="320B7CCB"/>
    <w:rsid w:val="32105DE8"/>
    <w:rsid w:val="32235051"/>
    <w:rsid w:val="3235187E"/>
    <w:rsid w:val="3237186B"/>
    <w:rsid w:val="323B6798"/>
    <w:rsid w:val="323D5A9C"/>
    <w:rsid w:val="324274BC"/>
    <w:rsid w:val="32454376"/>
    <w:rsid w:val="32466B7E"/>
    <w:rsid w:val="32537B57"/>
    <w:rsid w:val="325F618E"/>
    <w:rsid w:val="32614B36"/>
    <w:rsid w:val="326A40B9"/>
    <w:rsid w:val="326B2DFA"/>
    <w:rsid w:val="326B53BE"/>
    <w:rsid w:val="326E5B28"/>
    <w:rsid w:val="32757E99"/>
    <w:rsid w:val="32766C80"/>
    <w:rsid w:val="328F5534"/>
    <w:rsid w:val="32910B8E"/>
    <w:rsid w:val="329234AC"/>
    <w:rsid w:val="329A6ACE"/>
    <w:rsid w:val="329B0193"/>
    <w:rsid w:val="329C7909"/>
    <w:rsid w:val="32A230DB"/>
    <w:rsid w:val="32A73536"/>
    <w:rsid w:val="32CD2690"/>
    <w:rsid w:val="32DF351E"/>
    <w:rsid w:val="32EE5E41"/>
    <w:rsid w:val="32F37DFC"/>
    <w:rsid w:val="32F40F87"/>
    <w:rsid w:val="32FD7C76"/>
    <w:rsid w:val="33014DEF"/>
    <w:rsid w:val="330246BF"/>
    <w:rsid w:val="330C22FC"/>
    <w:rsid w:val="330F27A5"/>
    <w:rsid w:val="330F37A5"/>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4E79"/>
    <w:rsid w:val="33AB34D3"/>
    <w:rsid w:val="33BF4199"/>
    <w:rsid w:val="33D151B9"/>
    <w:rsid w:val="33D42F83"/>
    <w:rsid w:val="33FE62E7"/>
    <w:rsid w:val="340D25F6"/>
    <w:rsid w:val="34172EFD"/>
    <w:rsid w:val="34191E62"/>
    <w:rsid w:val="34204EC0"/>
    <w:rsid w:val="342B0377"/>
    <w:rsid w:val="342B76C7"/>
    <w:rsid w:val="342F2BD8"/>
    <w:rsid w:val="343627E9"/>
    <w:rsid w:val="343A1527"/>
    <w:rsid w:val="343C69D1"/>
    <w:rsid w:val="34447898"/>
    <w:rsid w:val="344E62FA"/>
    <w:rsid w:val="346C4BC4"/>
    <w:rsid w:val="3472234D"/>
    <w:rsid w:val="347D500F"/>
    <w:rsid w:val="34830157"/>
    <w:rsid w:val="34872D27"/>
    <w:rsid w:val="349164BD"/>
    <w:rsid w:val="34A84B47"/>
    <w:rsid w:val="34BD02AE"/>
    <w:rsid w:val="34BF26F1"/>
    <w:rsid w:val="34D949FE"/>
    <w:rsid w:val="34DA26A8"/>
    <w:rsid w:val="34E43AD1"/>
    <w:rsid w:val="34E960F1"/>
    <w:rsid w:val="34ED6696"/>
    <w:rsid w:val="34F4196F"/>
    <w:rsid w:val="34F534ED"/>
    <w:rsid w:val="34F67558"/>
    <w:rsid w:val="34F86F4F"/>
    <w:rsid w:val="350B42D5"/>
    <w:rsid w:val="350F6258"/>
    <w:rsid w:val="351A603C"/>
    <w:rsid w:val="351B6F23"/>
    <w:rsid w:val="352821F6"/>
    <w:rsid w:val="35387F19"/>
    <w:rsid w:val="3539550B"/>
    <w:rsid w:val="353C7CFC"/>
    <w:rsid w:val="353F739F"/>
    <w:rsid w:val="356678B4"/>
    <w:rsid w:val="3573649F"/>
    <w:rsid w:val="357E4B0A"/>
    <w:rsid w:val="35866D7F"/>
    <w:rsid w:val="35882549"/>
    <w:rsid w:val="358F6BDF"/>
    <w:rsid w:val="35A26D98"/>
    <w:rsid w:val="35B0413F"/>
    <w:rsid w:val="35C06D50"/>
    <w:rsid w:val="35C83CF1"/>
    <w:rsid w:val="35D24294"/>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623F6"/>
    <w:rsid w:val="36670090"/>
    <w:rsid w:val="366D70A8"/>
    <w:rsid w:val="366E2787"/>
    <w:rsid w:val="368230C6"/>
    <w:rsid w:val="368B1AF9"/>
    <w:rsid w:val="368F7E4F"/>
    <w:rsid w:val="36900EB9"/>
    <w:rsid w:val="36985297"/>
    <w:rsid w:val="369F633B"/>
    <w:rsid w:val="36A30FDB"/>
    <w:rsid w:val="36A7007C"/>
    <w:rsid w:val="36B24AE8"/>
    <w:rsid w:val="36BD0DC4"/>
    <w:rsid w:val="36C621CD"/>
    <w:rsid w:val="36D51D00"/>
    <w:rsid w:val="36D66B5E"/>
    <w:rsid w:val="36DB108A"/>
    <w:rsid w:val="36E630A0"/>
    <w:rsid w:val="36E93760"/>
    <w:rsid w:val="36FB4305"/>
    <w:rsid w:val="37022E5B"/>
    <w:rsid w:val="3708597F"/>
    <w:rsid w:val="37096815"/>
    <w:rsid w:val="370F7060"/>
    <w:rsid w:val="37134801"/>
    <w:rsid w:val="37150C16"/>
    <w:rsid w:val="37173233"/>
    <w:rsid w:val="37200A38"/>
    <w:rsid w:val="37226558"/>
    <w:rsid w:val="3734159D"/>
    <w:rsid w:val="37382526"/>
    <w:rsid w:val="374E78C1"/>
    <w:rsid w:val="3758590A"/>
    <w:rsid w:val="37602E60"/>
    <w:rsid w:val="377852C0"/>
    <w:rsid w:val="378229A7"/>
    <w:rsid w:val="3784394E"/>
    <w:rsid w:val="37987437"/>
    <w:rsid w:val="37B67EF6"/>
    <w:rsid w:val="37C94031"/>
    <w:rsid w:val="37CA042E"/>
    <w:rsid w:val="37D44549"/>
    <w:rsid w:val="37D77B09"/>
    <w:rsid w:val="37D97EDE"/>
    <w:rsid w:val="37DA45C2"/>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C6C0B"/>
    <w:rsid w:val="388157C6"/>
    <w:rsid w:val="388E5848"/>
    <w:rsid w:val="389863EC"/>
    <w:rsid w:val="38A94D18"/>
    <w:rsid w:val="38BC6426"/>
    <w:rsid w:val="38BD31EE"/>
    <w:rsid w:val="38CB3BDF"/>
    <w:rsid w:val="38D33D29"/>
    <w:rsid w:val="38DC3EDC"/>
    <w:rsid w:val="38DC657D"/>
    <w:rsid w:val="38E173A8"/>
    <w:rsid w:val="38E36442"/>
    <w:rsid w:val="38E40A5B"/>
    <w:rsid w:val="39285D57"/>
    <w:rsid w:val="392A318C"/>
    <w:rsid w:val="39372A0B"/>
    <w:rsid w:val="394B6470"/>
    <w:rsid w:val="39514FED"/>
    <w:rsid w:val="3953321D"/>
    <w:rsid w:val="397B41F8"/>
    <w:rsid w:val="39860592"/>
    <w:rsid w:val="39872512"/>
    <w:rsid w:val="39931A05"/>
    <w:rsid w:val="39A2099B"/>
    <w:rsid w:val="39A602F9"/>
    <w:rsid w:val="39B131B3"/>
    <w:rsid w:val="39BD45C8"/>
    <w:rsid w:val="39C2316A"/>
    <w:rsid w:val="39CB2EF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580E31"/>
    <w:rsid w:val="3A680772"/>
    <w:rsid w:val="3A685AA2"/>
    <w:rsid w:val="3A6A0CCC"/>
    <w:rsid w:val="3A6B0F84"/>
    <w:rsid w:val="3A727435"/>
    <w:rsid w:val="3A94055A"/>
    <w:rsid w:val="3AC17E3A"/>
    <w:rsid w:val="3AC71C01"/>
    <w:rsid w:val="3ACB5746"/>
    <w:rsid w:val="3ADD07D2"/>
    <w:rsid w:val="3ADD2B05"/>
    <w:rsid w:val="3AE417E3"/>
    <w:rsid w:val="3AE440AF"/>
    <w:rsid w:val="3AF7667E"/>
    <w:rsid w:val="3B032215"/>
    <w:rsid w:val="3B113F51"/>
    <w:rsid w:val="3B185809"/>
    <w:rsid w:val="3B2C21C1"/>
    <w:rsid w:val="3B307112"/>
    <w:rsid w:val="3B314C9E"/>
    <w:rsid w:val="3B4D57EF"/>
    <w:rsid w:val="3B540533"/>
    <w:rsid w:val="3B5A2A22"/>
    <w:rsid w:val="3B663D38"/>
    <w:rsid w:val="3B70246F"/>
    <w:rsid w:val="3B7804A3"/>
    <w:rsid w:val="3B8E2153"/>
    <w:rsid w:val="3BA03B83"/>
    <w:rsid w:val="3BB20883"/>
    <w:rsid w:val="3BC34E75"/>
    <w:rsid w:val="3BC65CF5"/>
    <w:rsid w:val="3BCB270F"/>
    <w:rsid w:val="3BCF7E47"/>
    <w:rsid w:val="3BD76CB6"/>
    <w:rsid w:val="3BD96AA6"/>
    <w:rsid w:val="3BE564F2"/>
    <w:rsid w:val="3BE940D8"/>
    <w:rsid w:val="3C0429BF"/>
    <w:rsid w:val="3C1A201A"/>
    <w:rsid w:val="3C270EB1"/>
    <w:rsid w:val="3C371D4B"/>
    <w:rsid w:val="3C37360A"/>
    <w:rsid w:val="3C3B4B9D"/>
    <w:rsid w:val="3C413C82"/>
    <w:rsid w:val="3C4502E0"/>
    <w:rsid w:val="3C471C36"/>
    <w:rsid w:val="3C4B03D1"/>
    <w:rsid w:val="3C565085"/>
    <w:rsid w:val="3C5A6B66"/>
    <w:rsid w:val="3C5D215A"/>
    <w:rsid w:val="3C6712D5"/>
    <w:rsid w:val="3C734413"/>
    <w:rsid w:val="3C8E50A1"/>
    <w:rsid w:val="3C982C18"/>
    <w:rsid w:val="3CA734F8"/>
    <w:rsid w:val="3CAD34A8"/>
    <w:rsid w:val="3CB95EFC"/>
    <w:rsid w:val="3CC4791C"/>
    <w:rsid w:val="3CC74223"/>
    <w:rsid w:val="3CC828D0"/>
    <w:rsid w:val="3CDB12FB"/>
    <w:rsid w:val="3CDB5F96"/>
    <w:rsid w:val="3CE23F49"/>
    <w:rsid w:val="3CEC39B8"/>
    <w:rsid w:val="3CF16761"/>
    <w:rsid w:val="3CF720E3"/>
    <w:rsid w:val="3CF72D6A"/>
    <w:rsid w:val="3CF86D06"/>
    <w:rsid w:val="3D00620E"/>
    <w:rsid w:val="3D035226"/>
    <w:rsid w:val="3D145DC3"/>
    <w:rsid w:val="3D313041"/>
    <w:rsid w:val="3D316CDB"/>
    <w:rsid w:val="3D3679ED"/>
    <w:rsid w:val="3D3D6BBD"/>
    <w:rsid w:val="3D44268A"/>
    <w:rsid w:val="3D450F8C"/>
    <w:rsid w:val="3D477118"/>
    <w:rsid w:val="3D4C3A73"/>
    <w:rsid w:val="3D594E54"/>
    <w:rsid w:val="3D62706F"/>
    <w:rsid w:val="3D6435C4"/>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917AA"/>
    <w:rsid w:val="3DEC775B"/>
    <w:rsid w:val="3DF379B0"/>
    <w:rsid w:val="3DF52358"/>
    <w:rsid w:val="3DF95812"/>
    <w:rsid w:val="3E05314D"/>
    <w:rsid w:val="3E142837"/>
    <w:rsid w:val="3E1D4077"/>
    <w:rsid w:val="3E1D4B24"/>
    <w:rsid w:val="3E2811AE"/>
    <w:rsid w:val="3E2E1A1A"/>
    <w:rsid w:val="3E3A04FA"/>
    <w:rsid w:val="3E3D6B96"/>
    <w:rsid w:val="3E441C7D"/>
    <w:rsid w:val="3E490256"/>
    <w:rsid w:val="3E55739E"/>
    <w:rsid w:val="3E602562"/>
    <w:rsid w:val="3E6C43C8"/>
    <w:rsid w:val="3E734E85"/>
    <w:rsid w:val="3E7A6362"/>
    <w:rsid w:val="3E8227F0"/>
    <w:rsid w:val="3E954035"/>
    <w:rsid w:val="3E9B4B40"/>
    <w:rsid w:val="3EA5009E"/>
    <w:rsid w:val="3EB71AC8"/>
    <w:rsid w:val="3EC85E34"/>
    <w:rsid w:val="3ED0424C"/>
    <w:rsid w:val="3EE71542"/>
    <w:rsid w:val="3EF31E7F"/>
    <w:rsid w:val="3EF36DF0"/>
    <w:rsid w:val="3EFA08FC"/>
    <w:rsid w:val="3F01231B"/>
    <w:rsid w:val="3F053EF6"/>
    <w:rsid w:val="3F093188"/>
    <w:rsid w:val="3F104129"/>
    <w:rsid w:val="3F173F6B"/>
    <w:rsid w:val="3F1B12A4"/>
    <w:rsid w:val="3F1E1DE8"/>
    <w:rsid w:val="3F2244AD"/>
    <w:rsid w:val="3F253B0C"/>
    <w:rsid w:val="3F2C04C4"/>
    <w:rsid w:val="3F3E7C9F"/>
    <w:rsid w:val="3F416B99"/>
    <w:rsid w:val="3F4F1E6B"/>
    <w:rsid w:val="3F4F5AD7"/>
    <w:rsid w:val="3F537FF3"/>
    <w:rsid w:val="3F5D0DD6"/>
    <w:rsid w:val="3F5D20B4"/>
    <w:rsid w:val="3F6B75A6"/>
    <w:rsid w:val="3F7B3FB4"/>
    <w:rsid w:val="3F840943"/>
    <w:rsid w:val="3F8735EE"/>
    <w:rsid w:val="3F8C0A49"/>
    <w:rsid w:val="3F913853"/>
    <w:rsid w:val="3F9660C3"/>
    <w:rsid w:val="3FA827ED"/>
    <w:rsid w:val="3FAE45A4"/>
    <w:rsid w:val="3FB45C58"/>
    <w:rsid w:val="3FB828D6"/>
    <w:rsid w:val="3FBA5EFD"/>
    <w:rsid w:val="3FC36557"/>
    <w:rsid w:val="3FC956FF"/>
    <w:rsid w:val="3FCE3965"/>
    <w:rsid w:val="3FD13F50"/>
    <w:rsid w:val="3FD66463"/>
    <w:rsid w:val="3FDC5F31"/>
    <w:rsid w:val="3FDD07D5"/>
    <w:rsid w:val="3FDD5E0B"/>
    <w:rsid w:val="3FE04625"/>
    <w:rsid w:val="3FE86CE8"/>
    <w:rsid w:val="3FF7456C"/>
    <w:rsid w:val="3FFB0F66"/>
    <w:rsid w:val="40007A90"/>
    <w:rsid w:val="40146E6B"/>
    <w:rsid w:val="401D46D5"/>
    <w:rsid w:val="403052F1"/>
    <w:rsid w:val="40345E51"/>
    <w:rsid w:val="404469FD"/>
    <w:rsid w:val="404A2717"/>
    <w:rsid w:val="404E4D25"/>
    <w:rsid w:val="404E779F"/>
    <w:rsid w:val="4053018C"/>
    <w:rsid w:val="4059090D"/>
    <w:rsid w:val="406277A4"/>
    <w:rsid w:val="4065170A"/>
    <w:rsid w:val="40672E2D"/>
    <w:rsid w:val="40687965"/>
    <w:rsid w:val="406E5CAB"/>
    <w:rsid w:val="40713C35"/>
    <w:rsid w:val="40745F23"/>
    <w:rsid w:val="40773B17"/>
    <w:rsid w:val="407965C6"/>
    <w:rsid w:val="408376F8"/>
    <w:rsid w:val="40891C7B"/>
    <w:rsid w:val="40A25054"/>
    <w:rsid w:val="40A325E0"/>
    <w:rsid w:val="40BD0DA1"/>
    <w:rsid w:val="40CC265C"/>
    <w:rsid w:val="40EC7D18"/>
    <w:rsid w:val="40ED11A0"/>
    <w:rsid w:val="40FD1BF0"/>
    <w:rsid w:val="41096BC0"/>
    <w:rsid w:val="410A75B6"/>
    <w:rsid w:val="410B452A"/>
    <w:rsid w:val="413353F1"/>
    <w:rsid w:val="41513BC9"/>
    <w:rsid w:val="41735B7F"/>
    <w:rsid w:val="41927331"/>
    <w:rsid w:val="41AC65BB"/>
    <w:rsid w:val="41C660F7"/>
    <w:rsid w:val="41CA7DCA"/>
    <w:rsid w:val="41D574BC"/>
    <w:rsid w:val="41D75714"/>
    <w:rsid w:val="41D95EE3"/>
    <w:rsid w:val="41DD3BC3"/>
    <w:rsid w:val="41E37EFF"/>
    <w:rsid w:val="41EE2F03"/>
    <w:rsid w:val="41F466FD"/>
    <w:rsid w:val="42002BC7"/>
    <w:rsid w:val="42026B03"/>
    <w:rsid w:val="420D197F"/>
    <w:rsid w:val="421316FC"/>
    <w:rsid w:val="42187EBE"/>
    <w:rsid w:val="421A7E5C"/>
    <w:rsid w:val="421C3DAC"/>
    <w:rsid w:val="4227435A"/>
    <w:rsid w:val="424B5824"/>
    <w:rsid w:val="42610528"/>
    <w:rsid w:val="42655B81"/>
    <w:rsid w:val="426973AD"/>
    <w:rsid w:val="427A67A1"/>
    <w:rsid w:val="427E0B36"/>
    <w:rsid w:val="42895E35"/>
    <w:rsid w:val="429A2FB4"/>
    <w:rsid w:val="429C1193"/>
    <w:rsid w:val="42A03D98"/>
    <w:rsid w:val="42B2706C"/>
    <w:rsid w:val="42B94BC1"/>
    <w:rsid w:val="42C30254"/>
    <w:rsid w:val="42C42A08"/>
    <w:rsid w:val="42D064B1"/>
    <w:rsid w:val="42DB5C3F"/>
    <w:rsid w:val="42DE48A3"/>
    <w:rsid w:val="42E16058"/>
    <w:rsid w:val="42F01DCB"/>
    <w:rsid w:val="42F17BF5"/>
    <w:rsid w:val="42F871DE"/>
    <w:rsid w:val="42F87EC9"/>
    <w:rsid w:val="42FA45BF"/>
    <w:rsid w:val="430E7E66"/>
    <w:rsid w:val="4311516B"/>
    <w:rsid w:val="431A43A9"/>
    <w:rsid w:val="432D4BEA"/>
    <w:rsid w:val="4332317A"/>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2D5CB5"/>
    <w:rsid w:val="44300615"/>
    <w:rsid w:val="44371929"/>
    <w:rsid w:val="443740AF"/>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F63C5"/>
    <w:rsid w:val="44CD5F97"/>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82CAB"/>
    <w:rsid w:val="45C844A0"/>
    <w:rsid w:val="45CD2126"/>
    <w:rsid w:val="460C5979"/>
    <w:rsid w:val="46110AB3"/>
    <w:rsid w:val="46143B66"/>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936C54"/>
    <w:rsid w:val="469448C6"/>
    <w:rsid w:val="469F39B5"/>
    <w:rsid w:val="46A232B5"/>
    <w:rsid w:val="46A50B23"/>
    <w:rsid w:val="46B80AF8"/>
    <w:rsid w:val="46D37F0B"/>
    <w:rsid w:val="46D71533"/>
    <w:rsid w:val="46E53335"/>
    <w:rsid w:val="46EF3C1E"/>
    <w:rsid w:val="47040E98"/>
    <w:rsid w:val="47084895"/>
    <w:rsid w:val="470A337F"/>
    <w:rsid w:val="47155D89"/>
    <w:rsid w:val="47234398"/>
    <w:rsid w:val="47253C54"/>
    <w:rsid w:val="473069AF"/>
    <w:rsid w:val="473672E7"/>
    <w:rsid w:val="473F2E3A"/>
    <w:rsid w:val="474A0EAF"/>
    <w:rsid w:val="474E50BE"/>
    <w:rsid w:val="47696F9C"/>
    <w:rsid w:val="47697A24"/>
    <w:rsid w:val="47725A17"/>
    <w:rsid w:val="477D3243"/>
    <w:rsid w:val="47800D2C"/>
    <w:rsid w:val="478821A1"/>
    <w:rsid w:val="478837D2"/>
    <w:rsid w:val="479128A9"/>
    <w:rsid w:val="47975EDC"/>
    <w:rsid w:val="47983B19"/>
    <w:rsid w:val="479E1EC1"/>
    <w:rsid w:val="479E5E8D"/>
    <w:rsid w:val="47A3609D"/>
    <w:rsid w:val="47B35372"/>
    <w:rsid w:val="47B806D7"/>
    <w:rsid w:val="47C01792"/>
    <w:rsid w:val="47C15AE4"/>
    <w:rsid w:val="47C57A48"/>
    <w:rsid w:val="47D253E2"/>
    <w:rsid w:val="47D511BD"/>
    <w:rsid w:val="47E36C0B"/>
    <w:rsid w:val="47E4504F"/>
    <w:rsid w:val="480321E6"/>
    <w:rsid w:val="4808150F"/>
    <w:rsid w:val="480E6650"/>
    <w:rsid w:val="480F51A8"/>
    <w:rsid w:val="48256B1B"/>
    <w:rsid w:val="48282713"/>
    <w:rsid w:val="483E5372"/>
    <w:rsid w:val="484417FA"/>
    <w:rsid w:val="48450ECE"/>
    <w:rsid w:val="484759CD"/>
    <w:rsid w:val="484B14EC"/>
    <w:rsid w:val="48565DBC"/>
    <w:rsid w:val="4865550B"/>
    <w:rsid w:val="486F1434"/>
    <w:rsid w:val="48713351"/>
    <w:rsid w:val="48802846"/>
    <w:rsid w:val="48850157"/>
    <w:rsid w:val="488B49F0"/>
    <w:rsid w:val="489B27DC"/>
    <w:rsid w:val="48B116EA"/>
    <w:rsid w:val="48B74C7A"/>
    <w:rsid w:val="48BE32BF"/>
    <w:rsid w:val="48C354EC"/>
    <w:rsid w:val="48CB2583"/>
    <w:rsid w:val="48D40488"/>
    <w:rsid w:val="48D429DD"/>
    <w:rsid w:val="48E01C77"/>
    <w:rsid w:val="48E22285"/>
    <w:rsid w:val="48E50D90"/>
    <w:rsid w:val="48EF602A"/>
    <w:rsid w:val="48F906C8"/>
    <w:rsid w:val="48FA15CC"/>
    <w:rsid w:val="491B63DF"/>
    <w:rsid w:val="491D63E9"/>
    <w:rsid w:val="492A068A"/>
    <w:rsid w:val="4932285C"/>
    <w:rsid w:val="493551FE"/>
    <w:rsid w:val="493C06FE"/>
    <w:rsid w:val="493E2F78"/>
    <w:rsid w:val="495043C3"/>
    <w:rsid w:val="495217DF"/>
    <w:rsid w:val="4958367A"/>
    <w:rsid w:val="49602C43"/>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3AB"/>
    <w:rsid w:val="4A4F73F7"/>
    <w:rsid w:val="4A5A2744"/>
    <w:rsid w:val="4A5A756D"/>
    <w:rsid w:val="4A785772"/>
    <w:rsid w:val="4A7B5051"/>
    <w:rsid w:val="4A89105B"/>
    <w:rsid w:val="4A9040CE"/>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1D7631"/>
    <w:rsid w:val="4B24012B"/>
    <w:rsid w:val="4B250CF8"/>
    <w:rsid w:val="4B277E4E"/>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303200"/>
    <w:rsid w:val="4C562920"/>
    <w:rsid w:val="4C5D1F92"/>
    <w:rsid w:val="4C603F16"/>
    <w:rsid w:val="4C6262E0"/>
    <w:rsid w:val="4C632900"/>
    <w:rsid w:val="4C6703A3"/>
    <w:rsid w:val="4C677378"/>
    <w:rsid w:val="4C6D7518"/>
    <w:rsid w:val="4C923A72"/>
    <w:rsid w:val="4CB00325"/>
    <w:rsid w:val="4CB96B0F"/>
    <w:rsid w:val="4CC74140"/>
    <w:rsid w:val="4CD20398"/>
    <w:rsid w:val="4CD315DD"/>
    <w:rsid w:val="4CDE1A81"/>
    <w:rsid w:val="4CE34E9F"/>
    <w:rsid w:val="4CE56ED7"/>
    <w:rsid w:val="4CEF0D51"/>
    <w:rsid w:val="4CF52D94"/>
    <w:rsid w:val="4CFE43DF"/>
    <w:rsid w:val="4D040BDB"/>
    <w:rsid w:val="4D131782"/>
    <w:rsid w:val="4D257DB4"/>
    <w:rsid w:val="4D2B086E"/>
    <w:rsid w:val="4D3520AA"/>
    <w:rsid w:val="4D3F60F3"/>
    <w:rsid w:val="4D462159"/>
    <w:rsid w:val="4D465FB7"/>
    <w:rsid w:val="4D566017"/>
    <w:rsid w:val="4D5F35CB"/>
    <w:rsid w:val="4D613CEC"/>
    <w:rsid w:val="4D6C1B80"/>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1D0E34"/>
    <w:rsid w:val="4E27683A"/>
    <w:rsid w:val="4E354DF5"/>
    <w:rsid w:val="4E4C50A3"/>
    <w:rsid w:val="4E510698"/>
    <w:rsid w:val="4E576363"/>
    <w:rsid w:val="4E635567"/>
    <w:rsid w:val="4E63744A"/>
    <w:rsid w:val="4E642C68"/>
    <w:rsid w:val="4E742982"/>
    <w:rsid w:val="4E9C0636"/>
    <w:rsid w:val="4EA30DB6"/>
    <w:rsid w:val="4EA7341F"/>
    <w:rsid w:val="4EA74FA1"/>
    <w:rsid w:val="4EAD715F"/>
    <w:rsid w:val="4EB6433D"/>
    <w:rsid w:val="4ECF5E5B"/>
    <w:rsid w:val="4ED513E2"/>
    <w:rsid w:val="4EDB58B2"/>
    <w:rsid w:val="4EE925CE"/>
    <w:rsid w:val="4EEF2E30"/>
    <w:rsid w:val="4EF24828"/>
    <w:rsid w:val="4EFE7F59"/>
    <w:rsid w:val="4F016DF9"/>
    <w:rsid w:val="4F1869D4"/>
    <w:rsid w:val="4F1E6ACB"/>
    <w:rsid w:val="4F285975"/>
    <w:rsid w:val="4F2A7BF3"/>
    <w:rsid w:val="4F2E2624"/>
    <w:rsid w:val="4F4E1077"/>
    <w:rsid w:val="4F52614B"/>
    <w:rsid w:val="4F536D1B"/>
    <w:rsid w:val="4F546156"/>
    <w:rsid w:val="4F671A09"/>
    <w:rsid w:val="4F844A99"/>
    <w:rsid w:val="4F94662C"/>
    <w:rsid w:val="4FAB2D34"/>
    <w:rsid w:val="4FB00163"/>
    <w:rsid w:val="4FB208E7"/>
    <w:rsid w:val="4FC11F63"/>
    <w:rsid w:val="4FD11690"/>
    <w:rsid w:val="4FE30332"/>
    <w:rsid w:val="4FE70BB4"/>
    <w:rsid w:val="4FE73C01"/>
    <w:rsid w:val="4FE87C31"/>
    <w:rsid w:val="4FE93D51"/>
    <w:rsid w:val="4FF45F63"/>
    <w:rsid w:val="500452D1"/>
    <w:rsid w:val="50051807"/>
    <w:rsid w:val="500815B6"/>
    <w:rsid w:val="500B39BC"/>
    <w:rsid w:val="5022123F"/>
    <w:rsid w:val="502B7315"/>
    <w:rsid w:val="503F32CF"/>
    <w:rsid w:val="5041152A"/>
    <w:rsid w:val="50421ACF"/>
    <w:rsid w:val="5042655E"/>
    <w:rsid w:val="50553F96"/>
    <w:rsid w:val="505C5D66"/>
    <w:rsid w:val="507E1B25"/>
    <w:rsid w:val="508264CE"/>
    <w:rsid w:val="50857E4D"/>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A87B15"/>
    <w:rsid w:val="51BA0CB7"/>
    <w:rsid w:val="51C93676"/>
    <w:rsid w:val="51C95C2C"/>
    <w:rsid w:val="51CB1F8D"/>
    <w:rsid w:val="51D129CA"/>
    <w:rsid w:val="51D87F7E"/>
    <w:rsid w:val="51D93F8A"/>
    <w:rsid w:val="51E5046A"/>
    <w:rsid w:val="51E67815"/>
    <w:rsid w:val="51EA322D"/>
    <w:rsid w:val="51F62C0E"/>
    <w:rsid w:val="52095400"/>
    <w:rsid w:val="520E5E03"/>
    <w:rsid w:val="52272B85"/>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B3363A"/>
    <w:rsid w:val="52B825FC"/>
    <w:rsid w:val="52B94C95"/>
    <w:rsid w:val="52C4763C"/>
    <w:rsid w:val="52D3799A"/>
    <w:rsid w:val="52DE691D"/>
    <w:rsid w:val="52E04D27"/>
    <w:rsid w:val="52E75660"/>
    <w:rsid w:val="52ED0C96"/>
    <w:rsid w:val="52FB45EB"/>
    <w:rsid w:val="53047E42"/>
    <w:rsid w:val="53061721"/>
    <w:rsid w:val="530C0E6B"/>
    <w:rsid w:val="532F77EA"/>
    <w:rsid w:val="53312AA7"/>
    <w:rsid w:val="5333550F"/>
    <w:rsid w:val="53364F5D"/>
    <w:rsid w:val="533933AA"/>
    <w:rsid w:val="533B7F54"/>
    <w:rsid w:val="535009E1"/>
    <w:rsid w:val="5352474D"/>
    <w:rsid w:val="53542621"/>
    <w:rsid w:val="53650168"/>
    <w:rsid w:val="536C2A29"/>
    <w:rsid w:val="53741F47"/>
    <w:rsid w:val="53766D1C"/>
    <w:rsid w:val="53836AFA"/>
    <w:rsid w:val="538859E4"/>
    <w:rsid w:val="53A20FFA"/>
    <w:rsid w:val="53A233E4"/>
    <w:rsid w:val="53A94C48"/>
    <w:rsid w:val="53AA7BC7"/>
    <w:rsid w:val="53AE5EA5"/>
    <w:rsid w:val="53B00B1F"/>
    <w:rsid w:val="53B2409D"/>
    <w:rsid w:val="53BD6FA3"/>
    <w:rsid w:val="53D6247A"/>
    <w:rsid w:val="53D96468"/>
    <w:rsid w:val="53DB3477"/>
    <w:rsid w:val="53E77CBF"/>
    <w:rsid w:val="53F646CA"/>
    <w:rsid w:val="53F9250B"/>
    <w:rsid w:val="53FE7128"/>
    <w:rsid w:val="540A2D25"/>
    <w:rsid w:val="54247F22"/>
    <w:rsid w:val="542C29CD"/>
    <w:rsid w:val="542F0A39"/>
    <w:rsid w:val="542F1551"/>
    <w:rsid w:val="54381756"/>
    <w:rsid w:val="5445418B"/>
    <w:rsid w:val="54596DB5"/>
    <w:rsid w:val="545A1EBF"/>
    <w:rsid w:val="54717CCC"/>
    <w:rsid w:val="54727478"/>
    <w:rsid w:val="54925C17"/>
    <w:rsid w:val="54B06F11"/>
    <w:rsid w:val="54B56DF4"/>
    <w:rsid w:val="54B93943"/>
    <w:rsid w:val="54BB2BC9"/>
    <w:rsid w:val="54BD1EE7"/>
    <w:rsid w:val="54BE5578"/>
    <w:rsid w:val="54BF52B5"/>
    <w:rsid w:val="54C22315"/>
    <w:rsid w:val="54C7176A"/>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9C353C"/>
    <w:rsid w:val="55A25EB7"/>
    <w:rsid w:val="55A82784"/>
    <w:rsid w:val="55A97512"/>
    <w:rsid w:val="55B63FD5"/>
    <w:rsid w:val="55BF69D2"/>
    <w:rsid w:val="55C35A76"/>
    <w:rsid w:val="55D40743"/>
    <w:rsid w:val="55D96DB7"/>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630C00"/>
    <w:rsid w:val="567739D2"/>
    <w:rsid w:val="5686536D"/>
    <w:rsid w:val="56865971"/>
    <w:rsid w:val="568B1DB1"/>
    <w:rsid w:val="568F7F41"/>
    <w:rsid w:val="56A55214"/>
    <w:rsid w:val="56A67978"/>
    <w:rsid w:val="56AC63C5"/>
    <w:rsid w:val="56B61F71"/>
    <w:rsid w:val="56BD6B54"/>
    <w:rsid w:val="56C1700B"/>
    <w:rsid w:val="56C7013D"/>
    <w:rsid w:val="56D20841"/>
    <w:rsid w:val="56D25618"/>
    <w:rsid w:val="56DD2924"/>
    <w:rsid w:val="56E84A97"/>
    <w:rsid w:val="56F648D3"/>
    <w:rsid w:val="57002F90"/>
    <w:rsid w:val="57011F3E"/>
    <w:rsid w:val="5705646B"/>
    <w:rsid w:val="57060649"/>
    <w:rsid w:val="5732705F"/>
    <w:rsid w:val="5734308D"/>
    <w:rsid w:val="57351D6F"/>
    <w:rsid w:val="5750195B"/>
    <w:rsid w:val="57504B16"/>
    <w:rsid w:val="576476C1"/>
    <w:rsid w:val="57652A96"/>
    <w:rsid w:val="57662DB4"/>
    <w:rsid w:val="577A52AB"/>
    <w:rsid w:val="577B3337"/>
    <w:rsid w:val="578A30A4"/>
    <w:rsid w:val="579927C7"/>
    <w:rsid w:val="579E7733"/>
    <w:rsid w:val="57A33734"/>
    <w:rsid w:val="57AB6ADD"/>
    <w:rsid w:val="57BD72A7"/>
    <w:rsid w:val="57BE5838"/>
    <w:rsid w:val="57C85610"/>
    <w:rsid w:val="57FC07D9"/>
    <w:rsid w:val="57FF6992"/>
    <w:rsid w:val="580F1B21"/>
    <w:rsid w:val="58160AE3"/>
    <w:rsid w:val="581B7E79"/>
    <w:rsid w:val="582A1A99"/>
    <w:rsid w:val="58390C5C"/>
    <w:rsid w:val="58403228"/>
    <w:rsid w:val="584D5888"/>
    <w:rsid w:val="58500F22"/>
    <w:rsid w:val="58587379"/>
    <w:rsid w:val="58595802"/>
    <w:rsid w:val="585D5BB3"/>
    <w:rsid w:val="586D57A3"/>
    <w:rsid w:val="587917A0"/>
    <w:rsid w:val="587A4288"/>
    <w:rsid w:val="587C6014"/>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41D85"/>
    <w:rsid w:val="5987482A"/>
    <w:rsid w:val="59904485"/>
    <w:rsid w:val="599C49A8"/>
    <w:rsid w:val="59A36725"/>
    <w:rsid w:val="59B21BF9"/>
    <w:rsid w:val="59B94FAB"/>
    <w:rsid w:val="59BB4EA3"/>
    <w:rsid w:val="59D7145E"/>
    <w:rsid w:val="59DE698A"/>
    <w:rsid w:val="59E9525B"/>
    <w:rsid w:val="59ED369A"/>
    <w:rsid w:val="5A011A3B"/>
    <w:rsid w:val="5A2706E2"/>
    <w:rsid w:val="5A3C0F08"/>
    <w:rsid w:val="5A3E5B83"/>
    <w:rsid w:val="5A4A0FD5"/>
    <w:rsid w:val="5A5663A3"/>
    <w:rsid w:val="5A571746"/>
    <w:rsid w:val="5A5907CA"/>
    <w:rsid w:val="5A6253E3"/>
    <w:rsid w:val="5A8E6670"/>
    <w:rsid w:val="5A912613"/>
    <w:rsid w:val="5A9245E9"/>
    <w:rsid w:val="5A953D41"/>
    <w:rsid w:val="5A9E517A"/>
    <w:rsid w:val="5AA27CE3"/>
    <w:rsid w:val="5AB011D9"/>
    <w:rsid w:val="5AB04532"/>
    <w:rsid w:val="5AB6510A"/>
    <w:rsid w:val="5ABC50F4"/>
    <w:rsid w:val="5AC251A0"/>
    <w:rsid w:val="5ACC4940"/>
    <w:rsid w:val="5AD50599"/>
    <w:rsid w:val="5AD6080A"/>
    <w:rsid w:val="5AD71465"/>
    <w:rsid w:val="5AD86A6D"/>
    <w:rsid w:val="5AEC14F6"/>
    <w:rsid w:val="5AF124A4"/>
    <w:rsid w:val="5AF77505"/>
    <w:rsid w:val="5AFB02E8"/>
    <w:rsid w:val="5AFB61DC"/>
    <w:rsid w:val="5B120BF4"/>
    <w:rsid w:val="5B141085"/>
    <w:rsid w:val="5B1E05C0"/>
    <w:rsid w:val="5B273A27"/>
    <w:rsid w:val="5B28192B"/>
    <w:rsid w:val="5B282D41"/>
    <w:rsid w:val="5B2E7D32"/>
    <w:rsid w:val="5B373A6F"/>
    <w:rsid w:val="5B402461"/>
    <w:rsid w:val="5B427BA8"/>
    <w:rsid w:val="5B4E0CD7"/>
    <w:rsid w:val="5B600DA9"/>
    <w:rsid w:val="5B631C92"/>
    <w:rsid w:val="5B66707B"/>
    <w:rsid w:val="5B673066"/>
    <w:rsid w:val="5B785E83"/>
    <w:rsid w:val="5B7C1CD1"/>
    <w:rsid w:val="5B896942"/>
    <w:rsid w:val="5B8D1590"/>
    <w:rsid w:val="5B9251EF"/>
    <w:rsid w:val="5B9C7CD2"/>
    <w:rsid w:val="5BAB5BC4"/>
    <w:rsid w:val="5BB20B74"/>
    <w:rsid w:val="5BC677D8"/>
    <w:rsid w:val="5BD42177"/>
    <w:rsid w:val="5BE75664"/>
    <w:rsid w:val="5BEB0120"/>
    <w:rsid w:val="5BFA6AFF"/>
    <w:rsid w:val="5C057E77"/>
    <w:rsid w:val="5C097C4E"/>
    <w:rsid w:val="5C0B763C"/>
    <w:rsid w:val="5C104619"/>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4B0764"/>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D4A67"/>
    <w:rsid w:val="5E213714"/>
    <w:rsid w:val="5E237029"/>
    <w:rsid w:val="5E2D4789"/>
    <w:rsid w:val="5E3A3BD1"/>
    <w:rsid w:val="5E4C19C5"/>
    <w:rsid w:val="5E5203B8"/>
    <w:rsid w:val="5E6A5399"/>
    <w:rsid w:val="5E71373F"/>
    <w:rsid w:val="5E717191"/>
    <w:rsid w:val="5E736456"/>
    <w:rsid w:val="5E76329E"/>
    <w:rsid w:val="5E830708"/>
    <w:rsid w:val="5E831398"/>
    <w:rsid w:val="5E85633A"/>
    <w:rsid w:val="5E921A45"/>
    <w:rsid w:val="5E975993"/>
    <w:rsid w:val="5EAC1043"/>
    <w:rsid w:val="5EB51FDE"/>
    <w:rsid w:val="5EBA4472"/>
    <w:rsid w:val="5EC501AE"/>
    <w:rsid w:val="5ECA3D37"/>
    <w:rsid w:val="5ECD3218"/>
    <w:rsid w:val="5EE153F8"/>
    <w:rsid w:val="5EE60028"/>
    <w:rsid w:val="5EED7893"/>
    <w:rsid w:val="5F0041E0"/>
    <w:rsid w:val="5F0842F6"/>
    <w:rsid w:val="5F0A3A61"/>
    <w:rsid w:val="5F134343"/>
    <w:rsid w:val="5F2B57AF"/>
    <w:rsid w:val="5F3A7C5E"/>
    <w:rsid w:val="5F5F5C90"/>
    <w:rsid w:val="5F666A7F"/>
    <w:rsid w:val="5F683B6E"/>
    <w:rsid w:val="5F742691"/>
    <w:rsid w:val="5F867BE8"/>
    <w:rsid w:val="5F875C0C"/>
    <w:rsid w:val="5F8F0B9E"/>
    <w:rsid w:val="5F8F267A"/>
    <w:rsid w:val="5F9E5F96"/>
    <w:rsid w:val="5FB94C48"/>
    <w:rsid w:val="5FCE4FD3"/>
    <w:rsid w:val="5FF37587"/>
    <w:rsid w:val="5FFB25B2"/>
    <w:rsid w:val="5FFE57B7"/>
    <w:rsid w:val="6001288A"/>
    <w:rsid w:val="60060CD5"/>
    <w:rsid w:val="600762FF"/>
    <w:rsid w:val="60085AA3"/>
    <w:rsid w:val="600C34C4"/>
    <w:rsid w:val="600E362B"/>
    <w:rsid w:val="600F73DD"/>
    <w:rsid w:val="60183392"/>
    <w:rsid w:val="601A4CB1"/>
    <w:rsid w:val="602C236D"/>
    <w:rsid w:val="603967D7"/>
    <w:rsid w:val="603D3325"/>
    <w:rsid w:val="60470CE3"/>
    <w:rsid w:val="604A6A1F"/>
    <w:rsid w:val="604E6809"/>
    <w:rsid w:val="605223DF"/>
    <w:rsid w:val="60597AB8"/>
    <w:rsid w:val="605C3003"/>
    <w:rsid w:val="60673C40"/>
    <w:rsid w:val="606A52D4"/>
    <w:rsid w:val="60766E7E"/>
    <w:rsid w:val="607C3753"/>
    <w:rsid w:val="608D1D4E"/>
    <w:rsid w:val="6092569C"/>
    <w:rsid w:val="609D6B26"/>
    <w:rsid w:val="60AD0357"/>
    <w:rsid w:val="60B004BE"/>
    <w:rsid w:val="60BA604C"/>
    <w:rsid w:val="60C30855"/>
    <w:rsid w:val="60C338B1"/>
    <w:rsid w:val="60D4742F"/>
    <w:rsid w:val="60D95276"/>
    <w:rsid w:val="60E06DEB"/>
    <w:rsid w:val="60E16438"/>
    <w:rsid w:val="60E51841"/>
    <w:rsid w:val="60ED4DAA"/>
    <w:rsid w:val="61110088"/>
    <w:rsid w:val="611543D6"/>
    <w:rsid w:val="6122664B"/>
    <w:rsid w:val="613009FA"/>
    <w:rsid w:val="61421EFD"/>
    <w:rsid w:val="61450F8F"/>
    <w:rsid w:val="61594ADE"/>
    <w:rsid w:val="615C5041"/>
    <w:rsid w:val="61642D9A"/>
    <w:rsid w:val="61723014"/>
    <w:rsid w:val="6182260C"/>
    <w:rsid w:val="618C1883"/>
    <w:rsid w:val="619117A1"/>
    <w:rsid w:val="61972EF8"/>
    <w:rsid w:val="619F6539"/>
    <w:rsid w:val="61D04549"/>
    <w:rsid w:val="61D43A2B"/>
    <w:rsid w:val="61D61317"/>
    <w:rsid w:val="61F112FF"/>
    <w:rsid w:val="61F24CBE"/>
    <w:rsid w:val="61FF316E"/>
    <w:rsid w:val="620F4BAD"/>
    <w:rsid w:val="621542CB"/>
    <w:rsid w:val="622D59F2"/>
    <w:rsid w:val="623E733C"/>
    <w:rsid w:val="624263A2"/>
    <w:rsid w:val="625272C3"/>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2624E0"/>
    <w:rsid w:val="6327422B"/>
    <w:rsid w:val="632D369F"/>
    <w:rsid w:val="6333152F"/>
    <w:rsid w:val="633B249F"/>
    <w:rsid w:val="634B124D"/>
    <w:rsid w:val="634D7789"/>
    <w:rsid w:val="634E2E6F"/>
    <w:rsid w:val="63552D76"/>
    <w:rsid w:val="6359778B"/>
    <w:rsid w:val="635B63E3"/>
    <w:rsid w:val="636B1CDB"/>
    <w:rsid w:val="63776102"/>
    <w:rsid w:val="637767A2"/>
    <w:rsid w:val="638C3395"/>
    <w:rsid w:val="639623D1"/>
    <w:rsid w:val="639E76D8"/>
    <w:rsid w:val="63A5373A"/>
    <w:rsid w:val="63A90249"/>
    <w:rsid w:val="63B159B9"/>
    <w:rsid w:val="63BA3154"/>
    <w:rsid w:val="63BD710D"/>
    <w:rsid w:val="63C72936"/>
    <w:rsid w:val="63CA2E8B"/>
    <w:rsid w:val="63E022EB"/>
    <w:rsid w:val="63E333C1"/>
    <w:rsid w:val="63F47D2A"/>
    <w:rsid w:val="63FE2D33"/>
    <w:rsid w:val="64113810"/>
    <w:rsid w:val="641A494E"/>
    <w:rsid w:val="64264A79"/>
    <w:rsid w:val="64304E58"/>
    <w:rsid w:val="64311867"/>
    <w:rsid w:val="64391ED3"/>
    <w:rsid w:val="6445632E"/>
    <w:rsid w:val="64585750"/>
    <w:rsid w:val="645E7889"/>
    <w:rsid w:val="64623C90"/>
    <w:rsid w:val="648939AA"/>
    <w:rsid w:val="64934B51"/>
    <w:rsid w:val="649B1AC2"/>
    <w:rsid w:val="64A7467B"/>
    <w:rsid w:val="64C86505"/>
    <w:rsid w:val="64EB168D"/>
    <w:rsid w:val="64F376E2"/>
    <w:rsid w:val="64F525EF"/>
    <w:rsid w:val="64FE700F"/>
    <w:rsid w:val="6500327F"/>
    <w:rsid w:val="6506609B"/>
    <w:rsid w:val="65083216"/>
    <w:rsid w:val="653C3417"/>
    <w:rsid w:val="65460728"/>
    <w:rsid w:val="65657EF8"/>
    <w:rsid w:val="656868EF"/>
    <w:rsid w:val="657A608F"/>
    <w:rsid w:val="657D778E"/>
    <w:rsid w:val="65822810"/>
    <w:rsid w:val="65870C45"/>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6052F43"/>
    <w:rsid w:val="6609487E"/>
    <w:rsid w:val="660E69F3"/>
    <w:rsid w:val="66174A0D"/>
    <w:rsid w:val="661D25CE"/>
    <w:rsid w:val="66206CF2"/>
    <w:rsid w:val="66265846"/>
    <w:rsid w:val="66287C9C"/>
    <w:rsid w:val="663F30F5"/>
    <w:rsid w:val="6646231E"/>
    <w:rsid w:val="664805B8"/>
    <w:rsid w:val="66592643"/>
    <w:rsid w:val="665B55EA"/>
    <w:rsid w:val="66655F85"/>
    <w:rsid w:val="66716512"/>
    <w:rsid w:val="66783424"/>
    <w:rsid w:val="667C7AEC"/>
    <w:rsid w:val="66984358"/>
    <w:rsid w:val="66984625"/>
    <w:rsid w:val="669B7C76"/>
    <w:rsid w:val="669D0EEA"/>
    <w:rsid w:val="66A200F8"/>
    <w:rsid w:val="66A30EC2"/>
    <w:rsid w:val="66AA4BA8"/>
    <w:rsid w:val="66AE5459"/>
    <w:rsid w:val="66C955BD"/>
    <w:rsid w:val="66DC317D"/>
    <w:rsid w:val="66EB4314"/>
    <w:rsid w:val="66F15393"/>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B163D1"/>
    <w:rsid w:val="67D365F8"/>
    <w:rsid w:val="67F45538"/>
    <w:rsid w:val="680239EB"/>
    <w:rsid w:val="68046AF5"/>
    <w:rsid w:val="680722DA"/>
    <w:rsid w:val="681938D1"/>
    <w:rsid w:val="682211D1"/>
    <w:rsid w:val="68236767"/>
    <w:rsid w:val="683E6C7D"/>
    <w:rsid w:val="68523B9A"/>
    <w:rsid w:val="685C6395"/>
    <w:rsid w:val="68607778"/>
    <w:rsid w:val="686318DD"/>
    <w:rsid w:val="68635145"/>
    <w:rsid w:val="687918F7"/>
    <w:rsid w:val="687F607E"/>
    <w:rsid w:val="68877872"/>
    <w:rsid w:val="688D4897"/>
    <w:rsid w:val="688E25E2"/>
    <w:rsid w:val="68A1389E"/>
    <w:rsid w:val="68A34C5C"/>
    <w:rsid w:val="68C53CFA"/>
    <w:rsid w:val="68CA3183"/>
    <w:rsid w:val="68E24981"/>
    <w:rsid w:val="68E31B32"/>
    <w:rsid w:val="68F73307"/>
    <w:rsid w:val="69123F86"/>
    <w:rsid w:val="691C3525"/>
    <w:rsid w:val="69216128"/>
    <w:rsid w:val="6923370C"/>
    <w:rsid w:val="69280874"/>
    <w:rsid w:val="693A417E"/>
    <w:rsid w:val="69461D42"/>
    <w:rsid w:val="695D5355"/>
    <w:rsid w:val="695D6B21"/>
    <w:rsid w:val="695E22F2"/>
    <w:rsid w:val="69611EE7"/>
    <w:rsid w:val="696C708E"/>
    <w:rsid w:val="696F4D5D"/>
    <w:rsid w:val="69722623"/>
    <w:rsid w:val="697A5FE9"/>
    <w:rsid w:val="697F0E06"/>
    <w:rsid w:val="69850877"/>
    <w:rsid w:val="698C13C5"/>
    <w:rsid w:val="698F407A"/>
    <w:rsid w:val="69C8265A"/>
    <w:rsid w:val="69D37CB2"/>
    <w:rsid w:val="69DC44FD"/>
    <w:rsid w:val="69DF27C3"/>
    <w:rsid w:val="69EA1A07"/>
    <w:rsid w:val="69EE7649"/>
    <w:rsid w:val="69F0745A"/>
    <w:rsid w:val="6A1141CC"/>
    <w:rsid w:val="6A1D59EC"/>
    <w:rsid w:val="6A247F72"/>
    <w:rsid w:val="6A3E2393"/>
    <w:rsid w:val="6A435B92"/>
    <w:rsid w:val="6A444DB8"/>
    <w:rsid w:val="6A4A3189"/>
    <w:rsid w:val="6A4D4828"/>
    <w:rsid w:val="6A516AC3"/>
    <w:rsid w:val="6A5303BA"/>
    <w:rsid w:val="6A677080"/>
    <w:rsid w:val="6A6971EA"/>
    <w:rsid w:val="6A6F6AF1"/>
    <w:rsid w:val="6A711183"/>
    <w:rsid w:val="6A762B91"/>
    <w:rsid w:val="6A7773E9"/>
    <w:rsid w:val="6A7925E0"/>
    <w:rsid w:val="6A7B4B9C"/>
    <w:rsid w:val="6A9661EC"/>
    <w:rsid w:val="6AAF014C"/>
    <w:rsid w:val="6ACB082B"/>
    <w:rsid w:val="6AD05064"/>
    <w:rsid w:val="6AD3247E"/>
    <w:rsid w:val="6AD432DA"/>
    <w:rsid w:val="6AE308A6"/>
    <w:rsid w:val="6B1D6FAB"/>
    <w:rsid w:val="6B287FBE"/>
    <w:rsid w:val="6B2B0EFD"/>
    <w:rsid w:val="6B2C13E4"/>
    <w:rsid w:val="6B32585A"/>
    <w:rsid w:val="6B3F5380"/>
    <w:rsid w:val="6B4B0A4C"/>
    <w:rsid w:val="6B4F21E3"/>
    <w:rsid w:val="6B50310B"/>
    <w:rsid w:val="6B5045E2"/>
    <w:rsid w:val="6B63243A"/>
    <w:rsid w:val="6B736A2E"/>
    <w:rsid w:val="6B7C51E5"/>
    <w:rsid w:val="6B8170D6"/>
    <w:rsid w:val="6B884219"/>
    <w:rsid w:val="6B90781F"/>
    <w:rsid w:val="6BA9194F"/>
    <w:rsid w:val="6BB00FBD"/>
    <w:rsid w:val="6BBF4CB6"/>
    <w:rsid w:val="6BCC3362"/>
    <w:rsid w:val="6BDA15AC"/>
    <w:rsid w:val="6BE402C8"/>
    <w:rsid w:val="6BE727F5"/>
    <w:rsid w:val="6BF2537C"/>
    <w:rsid w:val="6BFD6EE1"/>
    <w:rsid w:val="6C155534"/>
    <w:rsid w:val="6C170716"/>
    <w:rsid w:val="6C1B5387"/>
    <w:rsid w:val="6C240DF3"/>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CED562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98205C"/>
    <w:rsid w:val="6D9E0566"/>
    <w:rsid w:val="6DA32D3A"/>
    <w:rsid w:val="6DB47562"/>
    <w:rsid w:val="6DB54BE6"/>
    <w:rsid w:val="6DDC72CD"/>
    <w:rsid w:val="6DF43BD4"/>
    <w:rsid w:val="6E0B0D16"/>
    <w:rsid w:val="6E0E1FAB"/>
    <w:rsid w:val="6E122C8B"/>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8A5A47"/>
    <w:rsid w:val="6E920B5B"/>
    <w:rsid w:val="6E946A7C"/>
    <w:rsid w:val="6E990B16"/>
    <w:rsid w:val="6EB169D3"/>
    <w:rsid w:val="6EB67DEB"/>
    <w:rsid w:val="6EB829B1"/>
    <w:rsid w:val="6EB978A9"/>
    <w:rsid w:val="6EC42765"/>
    <w:rsid w:val="6ECC3A24"/>
    <w:rsid w:val="6ED421B0"/>
    <w:rsid w:val="6ED86D3E"/>
    <w:rsid w:val="6EDD143D"/>
    <w:rsid w:val="6EDD7A49"/>
    <w:rsid w:val="6EDE559B"/>
    <w:rsid w:val="6EE86859"/>
    <w:rsid w:val="6EE9744F"/>
    <w:rsid w:val="6EEC3F7C"/>
    <w:rsid w:val="6EFE1485"/>
    <w:rsid w:val="6F031F8E"/>
    <w:rsid w:val="6F0425B3"/>
    <w:rsid w:val="6F0633BB"/>
    <w:rsid w:val="6F0D382C"/>
    <w:rsid w:val="6F1859D0"/>
    <w:rsid w:val="6F2632E8"/>
    <w:rsid w:val="6F2F0BCD"/>
    <w:rsid w:val="6F30363A"/>
    <w:rsid w:val="6F3316E5"/>
    <w:rsid w:val="6F3A20F3"/>
    <w:rsid w:val="6F3F40F9"/>
    <w:rsid w:val="6F474F6D"/>
    <w:rsid w:val="6F6F14E1"/>
    <w:rsid w:val="6F85366A"/>
    <w:rsid w:val="6F90702F"/>
    <w:rsid w:val="6F9E1043"/>
    <w:rsid w:val="6FA629D4"/>
    <w:rsid w:val="6FA75ADB"/>
    <w:rsid w:val="6FB0079D"/>
    <w:rsid w:val="6FB744A4"/>
    <w:rsid w:val="6FB77ED4"/>
    <w:rsid w:val="6FBC456D"/>
    <w:rsid w:val="6FBD4D2F"/>
    <w:rsid w:val="6FBE54C9"/>
    <w:rsid w:val="6FBF4710"/>
    <w:rsid w:val="6FC27371"/>
    <w:rsid w:val="6FC9109F"/>
    <w:rsid w:val="6FC973F7"/>
    <w:rsid w:val="6FCE5372"/>
    <w:rsid w:val="6FD222C4"/>
    <w:rsid w:val="6FDB518F"/>
    <w:rsid w:val="6FE529ED"/>
    <w:rsid w:val="6FF733A7"/>
    <w:rsid w:val="70003DD9"/>
    <w:rsid w:val="70035FEA"/>
    <w:rsid w:val="70072915"/>
    <w:rsid w:val="70172090"/>
    <w:rsid w:val="70195E88"/>
    <w:rsid w:val="701D2B73"/>
    <w:rsid w:val="701D43BA"/>
    <w:rsid w:val="701E1483"/>
    <w:rsid w:val="702728D9"/>
    <w:rsid w:val="702B6F43"/>
    <w:rsid w:val="7032079E"/>
    <w:rsid w:val="703C186A"/>
    <w:rsid w:val="70570007"/>
    <w:rsid w:val="706A1AFA"/>
    <w:rsid w:val="70814FA2"/>
    <w:rsid w:val="70822BAD"/>
    <w:rsid w:val="708746BC"/>
    <w:rsid w:val="708F7F54"/>
    <w:rsid w:val="709E3D85"/>
    <w:rsid w:val="70AA583F"/>
    <w:rsid w:val="70AC660B"/>
    <w:rsid w:val="70B17138"/>
    <w:rsid w:val="70BB2EF0"/>
    <w:rsid w:val="70BC2801"/>
    <w:rsid w:val="70C6646C"/>
    <w:rsid w:val="70EA43C9"/>
    <w:rsid w:val="70FC2D1E"/>
    <w:rsid w:val="71015D6B"/>
    <w:rsid w:val="711059F7"/>
    <w:rsid w:val="71144B84"/>
    <w:rsid w:val="71151975"/>
    <w:rsid w:val="71336A65"/>
    <w:rsid w:val="713B5291"/>
    <w:rsid w:val="71473A79"/>
    <w:rsid w:val="71545B37"/>
    <w:rsid w:val="71573E01"/>
    <w:rsid w:val="71596474"/>
    <w:rsid w:val="716D7A3B"/>
    <w:rsid w:val="71702748"/>
    <w:rsid w:val="71726F00"/>
    <w:rsid w:val="717F0007"/>
    <w:rsid w:val="71867894"/>
    <w:rsid w:val="719F17C1"/>
    <w:rsid w:val="719F7A78"/>
    <w:rsid w:val="71C20005"/>
    <w:rsid w:val="71C20147"/>
    <w:rsid w:val="71C7444E"/>
    <w:rsid w:val="71C7540C"/>
    <w:rsid w:val="71E826DD"/>
    <w:rsid w:val="71EC44BC"/>
    <w:rsid w:val="71F64A63"/>
    <w:rsid w:val="71F870B8"/>
    <w:rsid w:val="72021233"/>
    <w:rsid w:val="720B2A1D"/>
    <w:rsid w:val="72174817"/>
    <w:rsid w:val="72295332"/>
    <w:rsid w:val="7231040E"/>
    <w:rsid w:val="72320A50"/>
    <w:rsid w:val="72430D76"/>
    <w:rsid w:val="72445E9B"/>
    <w:rsid w:val="72614063"/>
    <w:rsid w:val="72671940"/>
    <w:rsid w:val="727C422C"/>
    <w:rsid w:val="7280501E"/>
    <w:rsid w:val="7292045A"/>
    <w:rsid w:val="72974DBE"/>
    <w:rsid w:val="72A20C20"/>
    <w:rsid w:val="72AC5E95"/>
    <w:rsid w:val="72AE20F2"/>
    <w:rsid w:val="72B078E9"/>
    <w:rsid w:val="72C13ED7"/>
    <w:rsid w:val="72CA3BE3"/>
    <w:rsid w:val="72CB566D"/>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91A4A"/>
    <w:rsid w:val="73744BF3"/>
    <w:rsid w:val="737807F3"/>
    <w:rsid w:val="737F155E"/>
    <w:rsid w:val="7388529A"/>
    <w:rsid w:val="738A6895"/>
    <w:rsid w:val="73B04FAB"/>
    <w:rsid w:val="73BB6F21"/>
    <w:rsid w:val="73BC7089"/>
    <w:rsid w:val="73BC725F"/>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B021C6"/>
    <w:rsid w:val="74B44784"/>
    <w:rsid w:val="74B808BF"/>
    <w:rsid w:val="74ED6DC4"/>
    <w:rsid w:val="75070109"/>
    <w:rsid w:val="75084E8F"/>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EA364B"/>
    <w:rsid w:val="75F20996"/>
    <w:rsid w:val="75F96973"/>
    <w:rsid w:val="75FE5A56"/>
    <w:rsid w:val="760E1952"/>
    <w:rsid w:val="76123E1D"/>
    <w:rsid w:val="762600FC"/>
    <w:rsid w:val="762A17C0"/>
    <w:rsid w:val="76425118"/>
    <w:rsid w:val="764838B9"/>
    <w:rsid w:val="764B15DA"/>
    <w:rsid w:val="764C09B4"/>
    <w:rsid w:val="764F5A52"/>
    <w:rsid w:val="766A4A0D"/>
    <w:rsid w:val="766B37EE"/>
    <w:rsid w:val="767C18AE"/>
    <w:rsid w:val="767D36B9"/>
    <w:rsid w:val="768312B1"/>
    <w:rsid w:val="7692667A"/>
    <w:rsid w:val="7693567A"/>
    <w:rsid w:val="76982273"/>
    <w:rsid w:val="769A7352"/>
    <w:rsid w:val="76A177B8"/>
    <w:rsid w:val="76AD2761"/>
    <w:rsid w:val="76B2071B"/>
    <w:rsid w:val="76B64E53"/>
    <w:rsid w:val="76B8001A"/>
    <w:rsid w:val="76BC314A"/>
    <w:rsid w:val="76CF29D3"/>
    <w:rsid w:val="76DC7E3D"/>
    <w:rsid w:val="76E33ABE"/>
    <w:rsid w:val="76E52E89"/>
    <w:rsid w:val="76EC14D7"/>
    <w:rsid w:val="76EC51FD"/>
    <w:rsid w:val="76ED32B6"/>
    <w:rsid w:val="76F410B8"/>
    <w:rsid w:val="76FB3F56"/>
    <w:rsid w:val="76FE0949"/>
    <w:rsid w:val="77070DB8"/>
    <w:rsid w:val="77194245"/>
    <w:rsid w:val="7719473B"/>
    <w:rsid w:val="771B67DF"/>
    <w:rsid w:val="77356BD9"/>
    <w:rsid w:val="77451578"/>
    <w:rsid w:val="77464BD7"/>
    <w:rsid w:val="77692EA3"/>
    <w:rsid w:val="777C21C8"/>
    <w:rsid w:val="777D1985"/>
    <w:rsid w:val="77825248"/>
    <w:rsid w:val="7785098B"/>
    <w:rsid w:val="77870D91"/>
    <w:rsid w:val="778A3229"/>
    <w:rsid w:val="778D28C3"/>
    <w:rsid w:val="779258CC"/>
    <w:rsid w:val="7794068F"/>
    <w:rsid w:val="779A096B"/>
    <w:rsid w:val="779B52FF"/>
    <w:rsid w:val="77A00E75"/>
    <w:rsid w:val="77A80D17"/>
    <w:rsid w:val="77B841F3"/>
    <w:rsid w:val="77C02BE3"/>
    <w:rsid w:val="77C078B1"/>
    <w:rsid w:val="77C759CB"/>
    <w:rsid w:val="77CA72FF"/>
    <w:rsid w:val="77E66E3C"/>
    <w:rsid w:val="77E86AC9"/>
    <w:rsid w:val="77EA17B7"/>
    <w:rsid w:val="77F34529"/>
    <w:rsid w:val="77F3789A"/>
    <w:rsid w:val="77F865B2"/>
    <w:rsid w:val="780326B9"/>
    <w:rsid w:val="78034B6F"/>
    <w:rsid w:val="7833711D"/>
    <w:rsid w:val="783B1F28"/>
    <w:rsid w:val="78413251"/>
    <w:rsid w:val="78497C2E"/>
    <w:rsid w:val="784E77DD"/>
    <w:rsid w:val="7854087B"/>
    <w:rsid w:val="78572CFF"/>
    <w:rsid w:val="785C3834"/>
    <w:rsid w:val="785F6BFF"/>
    <w:rsid w:val="786A4053"/>
    <w:rsid w:val="78782A0D"/>
    <w:rsid w:val="787B5060"/>
    <w:rsid w:val="787E0AC5"/>
    <w:rsid w:val="788720E7"/>
    <w:rsid w:val="78A90B04"/>
    <w:rsid w:val="78AE558D"/>
    <w:rsid w:val="78BD69DE"/>
    <w:rsid w:val="78C53485"/>
    <w:rsid w:val="78C76A01"/>
    <w:rsid w:val="78D41F79"/>
    <w:rsid w:val="78DF5D5C"/>
    <w:rsid w:val="78E72792"/>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877231"/>
    <w:rsid w:val="79916C4B"/>
    <w:rsid w:val="79941CF2"/>
    <w:rsid w:val="79973382"/>
    <w:rsid w:val="799A44B5"/>
    <w:rsid w:val="799C67A4"/>
    <w:rsid w:val="79BA66DB"/>
    <w:rsid w:val="79D33056"/>
    <w:rsid w:val="79EC0256"/>
    <w:rsid w:val="79F60153"/>
    <w:rsid w:val="79FB6E2C"/>
    <w:rsid w:val="7A000A00"/>
    <w:rsid w:val="7A211BEB"/>
    <w:rsid w:val="7A2A24FB"/>
    <w:rsid w:val="7A2E2677"/>
    <w:rsid w:val="7A4C2D60"/>
    <w:rsid w:val="7A5E32E2"/>
    <w:rsid w:val="7A604653"/>
    <w:rsid w:val="7A6E4BF5"/>
    <w:rsid w:val="7A7A1A54"/>
    <w:rsid w:val="7A805A0E"/>
    <w:rsid w:val="7A851D5D"/>
    <w:rsid w:val="7A8A2267"/>
    <w:rsid w:val="7A8F43F6"/>
    <w:rsid w:val="7A92511C"/>
    <w:rsid w:val="7A97500F"/>
    <w:rsid w:val="7A9F6F88"/>
    <w:rsid w:val="7AB53126"/>
    <w:rsid w:val="7AB76FE8"/>
    <w:rsid w:val="7AD268E2"/>
    <w:rsid w:val="7ADC0950"/>
    <w:rsid w:val="7ADC0B33"/>
    <w:rsid w:val="7AE14C19"/>
    <w:rsid w:val="7AEA174E"/>
    <w:rsid w:val="7AEC1B31"/>
    <w:rsid w:val="7B274176"/>
    <w:rsid w:val="7B2D7590"/>
    <w:rsid w:val="7B307D4E"/>
    <w:rsid w:val="7B351398"/>
    <w:rsid w:val="7B356407"/>
    <w:rsid w:val="7B401C79"/>
    <w:rsid w:val="7B440ED6"/>
    <w:rsid w:val="7B4611D7"/>
    <w:rsid w:val="7B4678D7"/>
    <w:rsid w:val="7B4B2A93"/>
    <w:rsid w:val="7B527515"/>
    <w:rsid w:val="7B5922B3"/>
    <w:rsid w:val="7B6569FF"/>
    <w:rsid w:val="7B890A24"/>
    <w:rsid w:val="7B9D6584"/>
    <w:rsid w:val="7BAA485C"/>
    <w:rsid w:val="7BAD1591"/>
    <w:rsid w:val="7BAF117E"/>
    <w:rsid w:val="7BB04D57"/>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518F1"/>
    <w:rsid w:val="7C4A2BD1"/>
    <w:rsid w:val="7C4F775D"/>
    <w:rsid w:val="7C576C70"/>
    <w:rsid w:val="7C5B0211"/>
    <w:rsid w:val="7C6D5985"/>
    <w:rsid w:val="7C701814"/>
    <w:rsid w:val="7C77043F"/>
    <w:rsid w:val="7C77330E"/>
    <w:rsid w:val="7C8A7CDC"/>
    <w:rsid w:val="7C9E5A24"/>
    <w:rsid w:val="7CB4006B"/>
    <w:rsid w:val="7CB93ABB"/>
    <w:rsid w:val="7CC32529"/>
    <w:rsid w:val="7CCD2199"/>
    <w:rsid w:val="7CE656F0"/>
    <w:rsid w:val="7CE87FE8"/>
    <w:rsid w:val="7CED34FF"/>
    <w:rsid w:val="7CEE5458"/>
    <w:rsid w:val="7CF26588"/>
    <w:rsid w:val="7CF305CD"/>
    <w:rsid w:val="7CF565D7"/>
    <w:rsid w:val="7CFA3A46"/>
    <w:rsid w:val="7D0F5720"/>
    <w:rsid w:val="7D117609"/>
    <w:rsid w:val="7D1A4DCC"/>
    <w:rsid w:val="7D1F61D2"/>
    <w:rsid w:val="7D260EB6"/>
    <w:rsid w:val="7D2E198F"/>
    <w:rsid w:val="7D366D67"/>
    <w:rsid w:val="7D3B3737"/>
    <w:rsid w:val="7D3D73AF"/>
    <w:rsid w:val="7D420743"/>
    <w:rsid w:val="7D550799"/>
    <w:rsid w:val="7D5B27C9"/>
    <w:rsid w:val="7D62117D"/>
    <w:rsid w:val="7D666D1A"/>
    <w:rsid w:val="7D816CE5"/>
    <w:rsid w:val="7D834A16"/>
    <w:rsid w:val="7D855CE9"/>
    <w:rsid w:val="7D9D438F"/>
    <w:rsid w:val="7DA514D2"/>
    <w:rsid w:val="7DC70B62"/>
    <w:rsid w:val="7DCD4EB5"/>
    <w:rsid w:val="7DF83D1A"/>
    <w:rsid w:val="7DFF415C"/>
    <w:rsid w:val="7E090313"/>
    <w:rsid w:val="7E1C2730"/>
    <w:rsid w:val="7E2E4C94"/>
    <w:rsid w:val="7E3E0B9F"/>
    <w:rsid w:val="7E3E0FEC"/>
    <w:rsid w:val="7E3E1EF2"/>
    <w:rsid w:val="7E436D4C"/>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B0865"/>
    <w:rsid w:val="7F271AA3"/>
    <w:rsid w:val="7F332190"/>
    <w:rsid w:val="7F3843DF"/>
    <w:rsid w:val="7F470F76"/>
    <w:rsid w:val="7F5131F8"/>
    <w:rsid w:val="7F542B37"/>
    <w:rsid w:val="7F59084B"/>
    <w:rsid w:val="7F5B533A"/>
    <w:rsid w:val="7F6B2248"/>
    <w:rsid w:val="7F6E1D9D"/>
    <w:rsid w:val="7F7D7A8E"/>
    <w:rsid w:val="7F872588"/>
    <w:rsid w:val="7F8725BA"/>
    <w:rsid w:val="7F8C6A8F"/>
    <w:rsid w:val="7F961D37"/>
    <w:rsid w:val="7F980F2D"/>
    <w:rsid w:val="7F9C175D"/>
    <w:rsid w:val="7FA82672"/>
    <w:rsid w:val="7FA85877"/>
    <w:rsid w:val="7FB431A7"/>
    <w:rsid w:val="7FB50606"/>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rFonts w:eastAsia="宋体"/>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0E19484C7D1A452F9FEB0D3DFF90A50A</vt:lpwstr>
  </property>
</Properties>
</file>